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D7" w:rsidRDefault="00E60293">
      <w:pPr>
        <w:spacing w:before="100" w:after="10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Примітки до фінансової звітності ТОВ «Елгран» за   станом на  31 грудня 2020 року:</w:t>
      </w:r>
    </w:p>
    <w:p w:rsidR="001472D7" w:rsidRDefault="00E60293">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 Інформація про Товариство.</w:t>
      </w:r>
    </w:p>
    <w:p w:rsidR="001472D7" w:rsidRDefault="00E60293">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2. Найбільш суттєві положення облікової політики.</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3</w:t>
      </w:r>
      <w:r w:rsidR="00E60293">
        <w:rPr>
          <w:rFonts w:ascii="Times New Roman" w:eastAsia="Times New Roman" w:hAnsi="Times New Roman" w:cs="Times New Roman"/>
          <w:b/>
          <w:sz w:val="28"/>
        </w:rPr>
        <w:t>. Прийняття нових та переглянуті стандарти.</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4</w:t>
      </w:r>
      <w:r w:rsidR="00E60293">
        <w:rPr>
          <w:rFonts w:ascii="Times New Roman" w:eastAsia="Times New Roman" w:hAnsi="Times New Roman" w:cs="Times New Roman"/>
          <w:b/>
          <w:sz w:val="28"/>
        </w:rPr>
        <w:t>. Джерела невизначеності оцінки.</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5</w:t>
      </w:r>
      <w:r w:rsidR="00E60293">
        <w:rPr>
          <w:rFonts w:ascii="Times New Roman" w:eastAsia="Times New Roman" w:hAnsi="Times New Roman" w:cs="Times New Roman"/>
          <w:b/>
          <w:sz w:val="28"/>
        </w:rPr>
        <w:t>. Здатність продовжувати діяльність безперервно.</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6</w:t>
      </w:r>
      <w:r w:rsidR="00E60293">
        <w:rPr>
          <w:rFonts w:ascii="Times New Roman" w:eastAsia="Times New Roman" w:hAnsi="Times New Roman" w:cs="Times New Roman"/>
          <w:b/>
          <w:sz w:val="28"/>
        </w:rPr>
        <w:t>. Основні засоби і нематеріальні активи.</w:t>
      </w:r>
    </w:p>
    <w:p w:rsidR="001472D7" w:rsidRDefault="00BF76A8">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7</w:t>
      </w:r>
      <w:r w:rsidR="00E60293">
        <w:rPr>
          <w:rFonts w:ascii="Times New Roman" w:eastAsia="Times New Roman" w:hAnsi="Times New Roman" w:cs="Times New Roman"/>
          <w:b/>
          <w:sz w:val="28"/>
        </w:rPr>
        <w:t>. Запаси.</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8</w:t>
      </w:r>
      <w:r w:rsidR="00E60293">
        <w:rPr>
          <w:rFonts w:ascii="Times New Roman" w:eastAsia="Times New Roman" w:hAnsi="Times New Roman" w:cs="Times New Roman"/>
          <w:b/>
          <w:sz w:val="28"/>
        </w:rPr>
        <w:t>. Фінансові інструменти.</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9</w:t>
      </w:r>
      <w:r w:rsidR="00E60293">
        <w:rPr>
          <w:rFonts w:ascii="Times New Roman" w:eastAsia="Times New Roman" w:hAnsi="Times New Roman" w:cs="Times New Roman"/>
          <w:b/>
          <w:sz w:val="28"/>
        </w:rPr>
        <w:t>. Власний капітал.</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10</w:t>
      </w:r>
      <w:r w:rsidR="00E60293">
        <w:rPr>
          <w:rFonts w:ascii="Times New Roman" w:eastAsia="Times New Roman" w:hAnsi="Times New Roman" w:cs="Times New Roman"/>
          <w:b/>
          <w:sz w:val="28"/>
        </w:rPr>
        <w:t>. Рух грошових коштів.</w:t>
      </w:r>
    </w:p>
    <w:p w:rsidR="001472D7" w:rsidRDefault="00BF76A8">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11</w:t>
      </w:r>
      <w:r w:rsidR="00E60293">
        <w:rPr>
          <w:rFonts w:ascii="Times New Roman" w:eastAsia="Times New Roman" w:hAnsi="Times New Roman" w:cs="Times New Roman"/>
          <w:b/>
          <w:sz w:val="28"/>
        </w:rPr>
        <w:t>. Дохід.</w:t>
      </w:r>
    </w:p>
    <w:p w:rsidR="001472D7" w:rsidRDefault="00E60293">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w:t>
      </w:r>
      <w:r w:rsidR="00BF76A8">
        <w:rPr>
          <w:rFonts w:ascii="Times New Roman" w:eastAsia="Times New Roman" w:hAnsi="Times New Roman" w:cs="Times New Roman"/>
          <w:b/>
          <w:sz w:val="28"/>
          <w:lang w:val="uk-UA"/>
        </w:rPr>
        <w:t>2</w:t>
      </w:r>
      <w:r>
        <w:rPr>
          <w:rFonts w:ascii="Times New Roman" w:eastAsia="Times New Roman" w:hAnsi="Times New Roman" w:cs="Times New Roman"/>
          <w:b/>
          <w:sz w:val="28"/>
        </w:rPr>
        <w:t>. Податок на прибуток.</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13</w:t>
      </w:r>
      <w:r w:rsidR="00E60293">
        <w:rPr>
          <w:rFonts w:ascii="Times New Roman" w:eastAsia="Times New Roman" w:hAnsi="Times New Roman" w:cs="Times New Roman"/>
          <w:b/>
          <w:sz w:val="28"/>
        </w:rPr>
        <w:t>. Виплати працівникам.</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14</w:t>
      </w:r>
      <w:r w:rsidR="00E60293">
        <w:rPr>
          <w:rFonts w:ascii="Times New Roman" w:eastAsia="Times New Roman" w:hAnsi="Times New Roman" w:cs="Times New Roman"/>
          <w:b/>
          <w:sz w:val="28"/>
        </w:rPr>
        <w:t>. Зв’язані сторони.</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15</w:t>
      </w:r>
      <w:r w:rsidR="00E60293">
        <w:rPr>
          <w:rFonts w:ascii="Times New Roman" w:eastAsia="Times New Roman" w:hAnsi="Times New Roman" w:cs="Times New Roman"/>
          <w:b/>
          <w:sz w:val="28"/>
        </w:rPr>
        <w:t>. Умовні активи і зобов’язання.</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17</w:t>
      </w:r>
      <w:r w:rsidR="00E60293">
        <w:rPr>
          <w:rFonts w:ascii="Times New Roman" w:eastAsia="Times New Roman" w:hAnsi="Times New Roman" w:cs="Times New Roman"/>
          <w:b/>
          <w:sz w:val="28"/>
        </w:rPr>
        <w:t>. Управління фінансовими ризиками.</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17</w:t>
      </w:r>
      <w:r w:rsidR="00E60293">
        <w:rPr>
          <w:rFonts w:ascii="Times New Roman" w:eastAsia="Times New Roman" w:hAnsi="Times New Roman" w:cs="Times New Roman"/>
          <w:b/>
          <w:sz w:val="28"/>
        </w:rPr>
        <w:t>. Управління капіталом.</w:t>
      </w:r>
    </w:p>
    <w:p w:rsidR="001472D7" w:rsidRDefault="00BF76A8">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18</w:t>
      </w:r>
      <w:r w:rsidR="00E60293">
        <w:rPr>
          <w:rFonts w:ascii="Times New Roman" w:eastAsia="Times New Roman" w:hAnsi="Times New Roman" w:cs="Times New Roman"/>
          <w:b/>
          <w:sz w:val="28"/>
        </w:rPr>
        <w:t>. Події після звітної дати.</w:t>
      </w: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4D7194" w:rsidRDefault="004D7194">
      <w:pPr>
        <w:spacing w:before="100" w:after="100" w:line="240" w:lineRule="auto"/>
        <w:rPr>
          <w:rFonts w:ascii="Times New Roman" w:eastAsia="Times New Roman" w:hAnsi="Times New Roman" w:cs="Times New Roman"/>
          <w:b/>
          <w:sz w:val="28"/>
        </w:rPr>
      </w:pPr>
    </w:p>
    <w:p w:rsidR="001472D7" w:rsidRDefault="001472D7">
      <w:pPr>
        <w:spacing w:before="100" w:after="100" w:line="240" w:lineRule="auto"/>
        <w:rPr>
          <w:rFonts w:ascii="Times New Roman" w:eastAsia="Times New Roman" w:hAnsi="Times New Roman" w:cs="Times New Roman"/>
          <w:b/>
          <w:sz w:val="32"/>
        </w:rPr>
      </w:pPr>
    </w:p>
    <w:p w:rsidR="001472D7" w:rsidRDefault="001472D7">
      <w:pPr>
        <w:spacing w:after="0" w:line="240" w:lineRule="auto"/>
        <w:rPr>
          <w:rFonts w:ascii="Times New Roman" w:eastAsia="Times New Roman" w:hAnsi="Times New Roman" w:cs="Times New Roman"/>
          <w:b/>
          <w:sz w:val="32"/>
        </w:rPr>
      </w:pPr>
    </w:p>
    <w:p w:rsidR="001472D7" w:rsidRDefault="001472D7">
      <w:pPr>
        <w:spacing w:after="0" w:line="240" w:lineRule="auto"/>
        <w:rPr>
          <w:rFonts w:ascii="Times New Roman" w:eastAsia="Times New Roman" w:hAnsi="Times New Roman" w:cs="Times New Roman"/>
          <w:sz w:val="24"/>
        </w:rPr>
      </w:pPr>
      <w:r>
        <w:object w:dxaOrig="181" w:dyaOrig="181">
          <v:rect id="rectole0000000000" o:spid="_x0000_i1025" style="width:9pt;height:9pt" o:ole="" o:preferrelative="t" stroked="f">
            <v:imagedata r:id="rId5" o:title=""/>
          </v:rect>
          <o:OLEObject Type="Embed" ProgID="StaticMetafile" ShapeID="rectole0000000000" DrawAspect="Content" ObjectID="_1679748753" r:id="rId6"/>
        </w:object>
      </w:r>
      <w:r>
        <w:object w:dxaOrig="181" w:dyaOrig="181">
          <v:rect id="rectole0000000001" o:spid="_x0000_i1026" style="width:9pt;height:9pt" o:ole="" o:preferrelative="t" stroked="f">
            <v:imagedata r:id="rId5" o:title=""/>
          </v:rect>
          <o:OLEObject Type="Embed" ProgID="StaticMetafile" ShapeID="rectole0000000001" DrawAspect="Content" ObjectID="_1679748754" r:id="rId7"/>
        </w:object>
      </w:r>
      <w:r>
        <w:object w:dxaOrig="181" w:dyaOrig="181">
          <v:rect id="rectole0000000002" o:spid="_x0000_i1027" style="width:9pt;height:9pt" o:ole="" o:preferrelative="t" stroked="f">
            <v:imagedata r:id="rId5" o:title=""/>
          </v:rect>
          <o:OLEObject Type="Embed" ProgID="StaticMetafile" ShapeID="rectole0000000002" DrawAspect="Content" ObjectID="_1679748755" r:id="rId8"/>
        </w:object>
      </w:r>
      <w:r>
        <w:object w:dxaOrig="181" w:dyaOrig="181">
          <v:rect id="rectole0000000003" o:spid="_x0000_i1028" style="width:9pt;height:9pt" o:ole="" o:preferrelative="t" stroked="f">
            <v:imagedata r:id="rId5" o:title=""/>
          </v:rect>
          <o:OLEObject Type="Embed" ProgID="StaticMetafile" ShapeID="rectole0000000003" DrawAspect="Content" ObjectID="_1679748756" r:id="rId9"/>
        </w:object>
      </w:r>
      <w:r>
        <w:object w:dxaOrig="181" w:dyaOrig="181">
          <v:rect id="rectole0000000004" o:spid="_x0000_i1029" style="width:9pt;height:9pt" o:ole="" o:preferrelative="t" stroked="f">
            <v:imagedata r:id="rId5" o:title=""/>
          </v:rect>
          <o:OLEObject Type="Embed" ProgID="StaticMetafile" ShapeID="rectole0000000004" DrawAspect="Content" ObjectID="_1679748757" r:id="rId10"/>
        </w:object>
      </w:r>
      <w:r>
        <w:object w:dxaOrig="181" w:dyaOrig="181">
          <v:rect id="rectole0000000005" o:spid="_x0000_i1030" style="width:9pt;height:9pt" o:ole="" o:preferrelative="t" stroked="f">
            <v:imagedata r:id="rId5" o:title=""/>
          </v:rect>
          <o:OLEObject Type="Embed" ProgID="StaticMetafile" ShapeID="rectole0000000005" DrawAspect="Content" ObjectID="_1679748758" r:id="rId11"/>
        </w:object>
      </w:r>
      <w:r>
        <w:object w:dxaOrig="181" w:dyaOrig="181">
          <v:rect id="rectole0000000006" o:spid="_x0000_i1031" style="width:9pt;height:9pt" o:ole="" o:preferrelative="t" stroked="f">
            <v:imagedata r:id="rId5" o:title=""/>
          </v:rect>
          <o:OLEObject Type="Embed" ProgID="StaticMetafile" ShapeID="rectole0000000006" DrawAspect="Content" ObjectID="_1679748759" r:id="rId12"/>
        </w:object>
      </w:r>
      <w:r>
        <w:object w:dxaOrig="181" w:dyaOrig="181">
          <v:rect id="rectole0000000007" o:spid="_x0000_i1032" style="width:9pt;height:9pt" o:ole="" o:preferrelative="t" stroked="f">
            <v:imagedata r:id="rId5" o:title=""/>
          </v:rect>
          <o:OLEObject Type="Embed" ProgID="StaticMetafile" ShapeID="rectole0000000007" DrawAspect="Content" ObjectID="_1679748760" r:id="rId13"/>
        </w:object>
      </w:r>
    </w:p>
    <w:p w:rsidR="001472D7" w:rsidRDefault="00E60293">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i/>
          <w:sz w:val="32"/>
        </w:rPr>
        <w:t> </w:t>
      </w:r>
      <w:r>
        <w:rPr>
          <w:rFonts w:ascii="Times New Roman" w:eastAsia="Times New Roman" w:hAnsi="Times New Roman" w:cs="Times New Roman"/>
          <w:i/>
          <w:sz w:val="24"/>
        </w:rPr>
        <w:t> </w:t>
      </w:r>
      <w:r>
        <w:rPr>
          <w:rFonts w:ascii="Times New Roman" w:eastAsia="Times New Roman" w:hAnsi="Times New Roman" w:cs="Times New Roman"/>
          <w:b/>
          <w:sz w:val="32"/>
        </w:rPr>
        <w:t>1. Інформація про Товариство.</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Товариство з обмеженою відповідальністю «Елгран» (код ЄДРПОУ – 30620865)  створене у результаті припинення, шляхом реорганізації, Закритого акціонерного товариства «Елгран». ТОВ «Елгран» зареєстровано 16.04.2010 року Кіровоградською районною державною адміністрацією Кіровоградської області.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Засновниками товариства є:</w:t>
      </w:r>
    </w:p>
    <w:p w:rsidR="001472D7" w:rsidRDefault="00E60293">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З ОБМЕЖЕНОЮ ВІДПОВІДАЛЬНІСТЮ "ГРАНЕКС"</w:t>
      </w:r>
      <w:r>
        <w:rPr>
          <w:rFonts w:ascii="Times New Roman" w:eastAsia="Times New Roman" w:hAnsi="Times New Roman" w:cs="Times New Roman"/>
          <w:sz w:val="24"/>
        </w:rPr>
        <w:br/>
        <w:t>Код ЄДРПОУ засновника: 23692503</w:t>
      </w:r>
      <w:r>
        <w:rPr>
          <w:rFonts w:ascii="Times New Roman" w:eastAsia="Times New Roman" w:hAnsi="Times New Roman" w:cs="Times New Roman"/>
          <w:sz w:val="24"/>
        </w:rPr>
        <w:br/>
        <w:t>Адреса засновника: 25009, Кіровоградська обл., місто Кіровоград, Кіровський район, ВУЛИЦЯ ГЕРОЇВ СТАЛІНГРАДА, будинок 29</w:t>
      </w:r>
      <w:r>
        <w:rPr>
          <w:rFonts w:ascii="Times New Roman" w:eastAsia="Times New Roman" w:hAnsi="Times New Roman" w:cs="Times New Roman"/>
          <w:sz w:val="24"/>
        </w:rPr>
        <w:br/>
        <w:t>Розмір внеску до статутного фонду (грн.): 4100000.00</w:t>
      </w:r>
    </w:p>
    <w:p w:rsidR="001472D7" w:rsidRDefault="00E60293">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З ОБМЕЖЕНОЮ ВІДПОВІДАЛЬНІСТЮ "ГРАНТРАНС"</w:t>
      </w:r>
      <w:r>
        <w:rPr>
          <w:rFonts w:ascii="Times New Roman" w:eastAsia="Times New Roman" w:hAnsi="Times New Roman" w:cs="Times New Roman"/>
          <w:sz w:val="24"/>
        </w:rPr>
        <w:br/>
        <w:t>Код ЄДРПОУ засновника: 30327226</w:t>
      </w:r>
      <w:r>
        <w:rPr>
          <w:rFonts w:ascii="Times New Roman" w:eastAsia="Times New Roman" w:hAnsi="Times New Roman" w:cs="Times New Roman"/>
          <w:sz w:val="24"/>
        </w:rPr>
        <w:br/>
        <w:t>Адреса засновника: 27641, Кіровоградська обл., Кропивницький район, село Соколівське</w:t>
      </w:r>
      <w:r>
        <w:rPr>
          <w:rFonts w:ascii="Times New Roman" w:eastAsia="Times New Roman" w:hAnsi="Times New Roman" w:cs="Times New Roman"/>
          <w:sz w:val="24"/>
        </w:rPr>
        <w:br/>
        <w:t>Розмір внеску до статутного фонду (грн.): 50000.00</w:t>
      </w:r>
    </w:p>
    <w:p w:rsidR="001472D7" w:rsidRDefault="00E60293">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ПУБЛІЧНЕ АКЦІОНЕРНЕ ТОВАРИСТВО "КІРОВОГРАДГРАНІТ"</w:t>
      </w:r>
      <w:r>
        <w:rPr>
          <w:rFonts w:ascii="Times New Roman" w:eastAsia="Times New Roman" w:hAnsi="Times New Roman" w:cs="Times New Roman"/>
          <w:sz w:val="24"/>
        </w:rPr>
        <w:br/>
        <w:t>Код ЄДРПОУ засновника: 13744297</w:t>
      </w:r>
      <w:r>
        <w:rPr>
          <w:rFonts w:ascii="Times New Roman" w:eastAsia="Times New Roman" w:hAnsi="Times New Roman" w:cs="Times New Roman"/>
          <w:sz w:val="24"/>
        </w:rPr>
        <w:br/>
        <w:t>Адреса засновника: 27641, Кіровоградська обл., Кропивницький район, село Соколівське, ВУЛИЦЯ ШОСЕЙНА, 50</w:t>
      </w:r>
      <w:r>
        <w:rPr>
          <w:rFonts w:ascii="Times New Roman" w:eastAsia="Times New Roman" w:hAnsi="Times New Roman" w:cs="Times New Roman"/>
          <w:sz w:val="24"/>
        </w:rPr>
        <w:br/>
        <w:t>Розмір внеску до статутного фонду (грн.): 25157000.00</w:t>
      </w:r>
    </w:p>
    <w:p w:rsidR="001472D7" w:rsidRDefault="00E60293" w:rsidP="004D7194">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Компанія</w:t>
      </w:r>
      <w:r w:rsidRPr="009277AA">
        <w:rPr>
          <w:rFonts w:ascii="Times New Roman" w:eastAsia="Times New Roman" w:hAnsi="Times New Roman" w:cs="Times New Roman"/>
          <w:sz w:val="24"/>
          <w:lang w:val="en-US"/>
        </w:rPr>
        <w:t xml:space="preserve"> "Forgroup Management Limited", Unit B Cill trading Estate Fonthill Road, London N4 3HN England, GB.</w:t>
      </w:r>
      <w:r w:rsidRPr="009277AA">
        <w:rPr>
          <w:rFonts w:ascii="Times New Roman" w:eastAsia="Times New Roman" w:hAnsi="Times New Roman" w:cs="Times New Roman"/>
          <w:sz w:val="24"/>
          <w:lang w:val="en-US"/>
        </w:rPr>
        <w:br/>
      </w:r>
      <w:r>
        <w:rPr>
          <w:rFonts w:ascii="Times New Roman" w:eastAsia="Times New Roman" w:hAnsi="Times New Roman" w:cs="Times New Roman"/>
          <w:sz w:val="24"/>
        </w:rPr>
        <w:t>Розмір внеску до статутного фонду (грн.): 20693000.00.</w:t>
      </w:r>
    </w:p>
    <w:p w:rsidR="004D7194" w:rsidRPr="004D7194" w:rsidRDefault="004D7194" w:rsidP="004D7194">
      <w:pPr>
        <w:spacing w:after="0" w:line="240" w:lineRule="auto"/>
        <w:ind w:left="720"/>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 своїй діяльності ТОВ «Елгран» керується нормами чинного законодавства України, статутом товариства, внутрішніми нормативними актами.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Основною метою ТОВ «Елгран»  є здійснення підприємницької  діяльності  для одержання прибутку в інтересах засновників Товариства.</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є юридичною особою, має самостійний баланс, поточний та інші рахунки в установах банків, печатки та штампи зі своїм повним найменуванням , фірмовий бланк та здійснює свою діяльність відповідно до норм чинного законодавства України.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Основним видом діяльності Товариства є добування декоративного та будівельного каменю, вапняку, гіпсу, крейди  та глинистого сланцю.</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Перспективні плани розвитку Товариства полягають у збільшенні обсягів виробництва, залученні нових клієнтів, покращенні якості робіт.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Місцезнаходження Товариства: </w:t>
      </w:r>
      <w:r>
        <w:rPr>
          <w:rFonts w:ascii="Times New Roman" w:eastAsia="Times New Roman" w:hAnsi="Times New Roman" w:cs="Times New Roman"/>
        </w:rPr>
        <w:t>27641, Кіровоградська обл., Кропивницький район, село Соколівське.</w:t>
      </w:r>
    </w:p>
    <w:p w:rsidR="001472D7" w:rsidRDefault="00E60293">
      <w:pPr>
        <w:spacing w:before="100" w:after="10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Операційне середовище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 Україні відбуваються політичні та економічні зміни, що впливали,  і в майбутньому впливатимуть на діяльність суб’єктів господарської діяльності, що функціонують у цих умовах. Зважаючи на це, операційна діяльність в Україні супроводжується ризиками, нехарактерними для економік багатьох інших держав. </w:t>
      </w:r>
    </w:p>
    <w:p w:rsidR="004D7194"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За рахунок повільного впровадження низки реформ, слабкого рівня захисту прав власності,  військового  конфлікту на  території Східної України  економіка  в Україні  залишається на досить  низькому  рівні,  хоча  певне  покращення  вже  спостерігається. </w:t>
      </w:r>
    </w:p>
    <w:p w:rsidR="001472D7" w:rsidRPr="004D7194" w:rsidRDefault="004D7194" w:rsidP="004D7194">
      <w:pPr>
        <w:pStyle w:val="a3"/>
        <w:spacing w:before="280" w:beforeAutospacing="0" w:after="280" w:afterAutospacing="0"/>
      </w:pPr>
      <w:r w:rsidRPr="004D7194">
        <w:t>З  грудня 2019 року розпочалося глобальне розповсюдження COVID-19, яке суттєво вплинуло на економiчне становище  України. Компанія визначила, що цi подiї є некоригуючими по вiдношенню до фiнансової звiтностi за 2020 рiк. Вiдповiдно, фiнансовий стан на 31 грудня 2020 року та результати дiяльностi за рiк, що закiнчився 31 грудня 2020 року, не було скориговано на вплив подiй, пов'язаних з COVID-19, так як ця подія не вплинула суттєво на діяльність Компанії. Тривалiсть та вплив пандемiї COVID-19, а також ефективнiсть державної пiдтримки на дату пiдготовки цiєї фiнансової звiтностi залишаються невизначеними, що не дозволяє з достатнiм ступенем достовiрностi оцiнити обсяги, тривалiсть i тяжкiсть цих наслiдкiв, а також їх вплив на фiнансовий стан та результати діяльності.</w:t>
      </w:r>
      <w:r w:rsidR="00E60293" w:rsidRPr="004D7194">
        <w:t xml:space="preserve">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Керівництво Товариства прикладає максимум зусиль, щоб покращити діяльність в умовах, що склалися.</w:t>
      </w:r>
    </w:p>
    <w:p w:rsidR="001472D7" w:rsidRDefault="00E60293">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2. Найбільш суттєві положення облікової політики.</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 Основа подання інформації</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При підготовці та поданні інформаці</w:t>
      </w:r>
      <w:r w:rsidR="00BF76A8">
        <w:rPr>
          <w:rFonts w:ascii="Times New Roman" w:eastAsia="Times New Roman" w:hAnsi="Times New Roman" w:cs="Times New Roman"/>
          <w:sz w:val="24"/>
        </w:rPr>
        <w:t>ї Товариство керується</w:t>
      </w:r>
      <w:r>
        <w:rPr>
          <w:rFonts w:ascii="Times New Roman" w:eastAsia="Times New Roman" w:hAnsi="Times New Roman" w:cs="Times New Roman"/>
          <w:sz w:val="24"/>
        </w:rPr>
        <w:t xml:space="preserve"> МСБО 8 «Облікові політики, зміни в облікових оцінках та помилки», МСБО 1 «Подання фінансової звітності» та іншими МСФЗ та МСБО. Відповідно до вказаних  МСФЗ  та МСБО Товариство   на</w:t>
      </w:r>
      <w:r w:rsidR="00BF76A8">
        <w:rPr>
          <w:rFonts w:ascii="Times New Roman" w:eastAsia="Times New Roman" w:hAnsi="Times New Roman" w:cs="Times New Roman"/>
          <w:sz w:val="24"/>
        </w:rPr>
        <w:t xml:space="preserve">магається забезпечити, щоб </w:t>
      </w:r>
      <w:r>
        <w:rPr>
          <w:rFonts w:ascii="Times New Roman" w:eastAsia="Times New Roman" w:hAnsi="Times New Roman" w:cs="Times New Roman"/>
          <w:sz w:val="24"/>
        </w:rPr>
        <w:t xml:space="preserve"> фінансова звітність Товариства, складена за МСФЗ, та її проміжна фінансова звітність за частину періоду, охопленого цією фінансовою звітністю, містили високоякісну інформацію, яка :</w:t>
      </w:r>
    </w:p>
    <w:p w:rsidR="001472D7" w:rsidRDefault="00E60293">
      <w:pPr>
        <w:numPr>
          <w:ilvl w:val="0"/>
          <w:numId w:val="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Є прозорою для користувачів і порівняною в усіх відображених періодах;</w:t>
      </w:r>
    </w:p>
    <w:p w:rsidR="001472D7" w:rsidRDefault="00E60293">
      <w:pPr>
        <w:numPr>
          <w:ilvl w:val="0"/>
          <w:numId w:val="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Забезпечує прийнятну відправну точку для обліку  за МСФЗ;</w:t>
      </w:r>
    </w:p>
    <w:p w:rsidR="001472D7" w:rsidRDefault="00E60293">
      <w:pPr>
        <w:numPr>
          <w:ilvl w:val="0"/>
          <w:numId w:val="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Витрати на її отримання не повинні перевищувати вигоди для користувачів.</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Істотні оцінки, думки та припущення Това</w:t>
      </w:r>
      <w:r w:rsidR="00BF76A8">
        <w:rPr>
          <w:rFonts w:ascii="Times New Roman" w:eastAsia="Times New Roman" w:hAnsi="Times New Roman" w:cs="Times New Roman"/>
          <w:sz w:val="24"/>
        </w:rPr>
        <w:t>риство робить на основі</w:t>
      </w:r>
      <w:r>
        <w:rPr>
          <w:rFonts w:ascii="Times New Roman" w:eastAsia="Times New Roman" w:hAnsi="Times New Roman" w:cs="Times New Roman"/>
          <w:sz w:val="24"/>
        </w:rPr>
        <w:t xml:space="preserve"> МСБО 8 «Облікові політики, зміни в облікових оцінках та помилки» та інших МСФЗ та МСБО.</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 наслідок невизначеності, властивій господарській діяльності, багато статей у фінансових звітах не можна оцінити точно, а можна оцінити лише попередньо, тому Товариство   може переглядати попередні облікові оцінки, якщо відбуваються зміни обставин, на яких базувалася оцінка, або внаслідок нової інформації чи більшого досвіду.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При складанні та поданні фінансової звітності Товариство керується  також МСБО 1 «Подання фінансової звітності». Метою підготовки та подання фінансової звітності  є надання інформації про фінансовий стан, фінансові результати діяльності та грошові потоки суб`єкта господарювання,  яка є корисною для широкого кола користувачів при прийнятті ними економічних рішень. Фінансова звітність Товариства також демонструє результати того, як управлінський персонал Товариства   розпоряджається ввіреними йому ресурсами. Для досягнення цієї мети фінансова звітність надає таку інформацію про Товариство :</w:t>
      </w:r>
    </w:p>
    <w:p w:rsidR="001472D7" w:rsidRDefault="00E60293">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Активи.</w:t>
      </w:r>
    </w:p>
    <w:p w:rsidR="001472D7" w:rsidRDefault="00E60293">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Зобов’язання.</w:t>
      </w:r>
    </w:p>
    <w:p w:rsidR="001472D7" w:rsidRDefault="00E60293">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Власний капітал.</w:t>
      </w:r>
    </w:p>
    <w:p w:rsidR="001472D7" w:rsidRDefault="00E60293">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Дохід та витрати , у тому числі прибутки та збитки.</w:t>
      </w:r>
    </w:p>
    <w:p w:rsidR="001472D7" w:rsidRDefault="00E60293">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Внески та виплати власникам, які діють згідно з їхніми повноваженнями власників.</w:t>
      </w:r>
    </w:p>
    <w:p w:rsidR="001472D7" w:rsidRDefault="00E60293">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Грошові потоки.</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Ця інформація, разом з іншою інформацією у примітках, допомагає користувачам фінансової звітності  спрогнозувати майбутні грошові потоки Товариства  і, зокрема, їхній час та вірогідність.</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Повний комплект фінансової звітності Товариства включає:</w:t>
      </w:r>
    </w:p>
    <w:p w:rsidR="001472D7" w:rsidRDefault="00E60293">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Звіт про фінансовий стан на кінець року.</w:t>
      </w:r>
    </w:p>
    <w:p w:rsidR="001472D7" w:rsidRDefault="00E60293">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Звіт про сукупний дохід за період.</w:t>
      </w:r>
    </w:p>
    <w:p w:rsidR="001472D7" w:rsidRDefault="00E60293">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Звіт про зміни у власному капіталі за період.</w:t>
      </w:r>
    </w:p>
    <w:p w:rsidR="001472D7" w:rsidRDefault="00E60293">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Звіт про рух грошових коштів за період (за прямим методом).</w:t>
      </w:r>
    </w:p>
    <w:p w:rsidR="001472D7" w:rsidRDefault="00E60293">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Примітки , що містять стислий виклад суттєвих облікових політик та інші пояснення.</w:t>
      </w:r>
    </w:p>
    <w:p w:rsidR="001472D7" w:rsidRDefault="00E60293">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Звіт про фінансовий стан на початок найбільш давнього порівняльного періоду, коли Товариство  застосовує облікову політику ретроспективно або здійснює ретроспективний перерахунок статей своєї фінансової звітності, або коли воно перекласифікує статті своєї фінансової звітності.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подає з однаковою значимістю всі фінансові звіти повного комплекту фінансової звітності.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складає фінансову звітність на основі безперервності, тобто здатності продовжувати свою діяльність на безперервній основі.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 разі якщо Товариство буде мати намір ліквідуватися чи припинити діяльність або не буде реальної альтернативи таким заходам, то фінансова звітність не буде складена на основі припущення про безперервність і інформація про цей факт та причини його будуть розкриті в примітках до фінансової звітності.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подає фінансову звітність (крім інформації про рух грошових коштів) за принципом нарахування.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подає повний комплект фінансової звітності (включаючи порівняльну інформацію) як мінімум щороку та за період тривалістю один рік, що закінчується 31 грудня поточного року.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розкриває  порівняльну інформацію стосовно попереднього періоду щодо всіх сум, наведених у фінансовій звітності поточного періоду та подає три звіти про фінансовий стан, по два з усіх інших звітів та відповідні примітки.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встановлює суттєвість фінансової звітності на рівні 1% від підсумку звіту про фінансовий стан за період.</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чітко ідентифікує фінансову звітність шляхом подання відповідних заголовків звітів, приміток тощо.</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Функціональною валютою і валютою представлення звітності Товариства є українська гривня.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подає фінансову звітність в українській гривні округленій до тисячі.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i/>
          <w:sz w:val="24"/>
        </w:rPr>
        <w:t>Звіт про фінансовий стан</w:t>
      </w:r>
      <w:r>
        <w:rPr>
          <w:rFonts w:ascii="Times New Roman" w:eastAsia="Times New Roman" w:hAnsi="Times New Roman" w:cs="Times New Roman"/>
          <w:sz w:val="24"/>
        </w:rPr>
        <w:t xml:space="preserve"> Товариства  включає статті , що подають такі суми:</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Основні засоби;</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Інвестиційна нерухомість;</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Нематеріальні активи;</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Фінансові активи;</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Інвестиції, обліковані із застосуванням методу участі в капіталі;</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Біологічні активи;</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Запаси;</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Торговельна та інша дебіторська заборгованість;</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Передоплати;</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Аванси з податків та інших платежів, крім податку на прибуток;</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Грошові кошти та їх еквіваленти;</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Загальна сума активів, класифікованих, як утримувані для продажу, та активи, включені у ліквідаційні групи, класифіковані, як утримувані для продажу, відповідно до МСФЗ 5 «Непоточні активи, утримувані для продажу, та припинена діяльність»;</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Торговельна та інша кредиторська заборгованість;</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Аванси отримані;</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Забезпечення;</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Процентні кредити за запозичення;</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Фінансові зобов`язання;</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Зобов’язання з виплат працівникам;</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Зобов`язання та активи , щодо поточного податку, як визначено в МСБО 12  «Податки на прибуток»;</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Податки та інші платежі до сплати, крім податку на прибуток;</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Відстрочені податкові зобов`язання та відстрочені податкові активи, як визначено МСБО 12 «Податки на прибуток»; </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Зобов`язання , включені у ліквідаційні групи, класифіковані як утримувані для продажу, відповідно до МСФЗ 5 «Непоточні активи, утримувані для продажу, та припинена діяльність»;</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Неконтрольовані частки, представлені у власному капіталі;</w:t>
      </w:r>
    </w:p>
    <w:p w:rsidR="001472D7" w:rsidRDefault="00E60293">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Випущений капітал і резерви, що відносяться до власників материнського Товариства.</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Товариство   подає усі статті доходу та витрат, визнані за період, у звіті про сукупні доходи.</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Звіт про сукупний дохід</w:t>
      </w:r>
      <w:r>
        <w:rPr>
          <w:rFonts w:ascii="Times New Roman" w:eastAsia="Times New Roman" w:hAnsi="Times New Roman" w:cs="Times New Roman"/>
          <w:sz w:val="24"/>
        </w:rPr>
        <w:t xml:space="preserve"> Товариства  повинен  включати  рядки , які подають такі суми за період:</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 </w:t>
      </w:r>
      <w:r>
        <w:rPr>
          <w:rFonts w:ascii="Times New Roman" w:eastAsia="Times New Roman" w:hAnsi="Times New Roman" w:cs="Times New Roman"/>
          <w:sz w:val="24"/>
        </w:rPr>
        <w:t>Дохід ;</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Прибутки та збитки, що виникають внаслідок припинення визнання фінансових активів, оцінених за амортизованою собівартістю;</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Фінансові витрати ;</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Частку прибутку або збитку асоційованих та спільних підприємств, що обліковується за методом участі в капіталі;</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Якщо фінансовий актив перекласифікований так, що він оцінюється за справедливою вартістю, будь-який прибуток або збиток, що виникає внаслідок різниці між попередньою балансовою вартістю та його справедливою вартістю на дату перекласифікації (як визначено в МСФЗ 9);</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Податкові витрати;</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lastRenderedPageBreak/>
        <w:t>- Одна сума , що складається з підсумку прибутку або збитку від припинених видів діяльності після сплати податків та прибутку або збитку після сплати податків, визнаного після оцінки до справедливої вартості за вирахуванням витрат на продаж або після вибуття активів чи вибуття ліквідаційної групи, що становить припинену діяльність;</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Прибуток або збиток;</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Кожний компонент іншого сукупного прибутку, класифікований за своїм характером;</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Частку іншого сукупного прибутку асоційованих та спільних підприємств, що обліковується за методом участі в капіталі;</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Загальний сукупний прибуток.</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Товариство   розкриває у Звіті про сукупний дохід такі статті  :</w:t>
      </w:r>
    </w:p>
    <w:p w:rsidR="001472D7" w:rsidRDefault="00E60293">
      <w:pPr>
        <w:numPr>
          <w:ilvl w:val="0"/>
          <w:numId w:val="6"/>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прибуток або збиток за період, що відноситься до неконтрольованих часток та власників материнської  компанії ;</w:t>
      </w:r>
    </w:p>
    <w:p w:rsidR="001472D7" w:rsidRDefault="00E60293">
      <w:pPr>
        <w:numPr>
          <w:ilvl w:val="0"/>
          <w:numId w:val="6"/>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загальний сукупний прибуток за період, що відноситься до неконтрольованих часток та власників материнської компанії..</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Товариство   подає аналіз витрат, визнаних у прибутку чи збитку, із застосуванням методу «функції витрат» згідно МСБО 1 «Подання фінансової звітності», вважаючи що таке подання є достовірним і більш доречним.</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Товариство   класифікує витрати за методом «функції витрат» таким чином:</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Дохід від продажу;</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Собівартість реалізації:</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Валовий прибуток;</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Інший дохід;</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Витрати на збут;</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Адміністративні витрати;</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Інші витрати;</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Фінансовий дохід;</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Фінансові витрати;</w:t>
      </w:r>
    </w:p>
    <w:p w:rsidR="001472D7" w:rsidRDefault="00E60293">
      <w:pPr>
        <w:numPr>
          <w:ilvl w:val="0"/>
          <w:numId w:val="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Прибуток до оподаткування.</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Додатково Товариство, у відповідності до МСБО 1 «Подання фінансової звітності», розкриває інформацію про характер витрат.</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i/>
          <w:sz w:val="24"/>
        </w:rPr>
        <w:t>Звіт про зміни у власному капіталі</w:t>
      </w:r>
      <w:r>
        <w:rPr>
          <w:rFonts w:ascii="Times New Roman" w:eastAsia="Times New Roman" w:hAnsi="Times New Roman" w:cs="Times New Roman"/>
          <w:sz w:val="24"/>
        </w:rPr>
        <w:t xml:space="preserve">  Товариства  включає таку інформацію:</w:t>
      </w:r>
    </w:p>
    <w:p w:rsidR="001472D7" w:rsidRDefault="00E60293">
      <w:pPr>
        <w:numPr>
          <w:ilvl w:val="0"/>
          <w:numId w:val="8"/>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загальний сукупний прибуток за період, із зазначенням окремо загальних сум, що відносяться до власників материнської компанії та до неконтрольованих часток;</w:t>
      </w:r>
    </w:p>
    <w:p w:rsidR="001472D7" w:rsidRDefault="00E60293">
      <w:pPr>
        <w:numPr>
          <w:ilvl w:val="0"/>
          <w:numId w:val="8"/>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для кожного компоненту власного капіталу впливи ретроспективного застосування або ретроспективного перерахунку,  визнаного відповідно до МСБО 8;</w:t>
      </w:r>
    </w:p>
    <w:p w:rsidR="001472D7" w:rsidRDefault="00E60293">
      <w:pPr>
        <w:numPr>
          <w:ilvl w:val="0"/>
          <w:numId w:val="8"/>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для кожного компоненту власного капіталу, зіставлення вартості на початок та на кінець періоду, окремо розкриваючи зміни в результаті:</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а) прибутку чи збитку;</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б) іншого сукупного прибутку;</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lastRenderedPageBreak/>
        <w:t>в) операцій з власниками, які діють згідно з їхніми повноваженнями власників, показуючи окремо внески власників та виплати власникам, а також зміни у частках власності у дочірніх Товариствах, які не спричинили втрату контролю.</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i/>
          <w:sz w:val="24"/>
        </w:rPr>
        <w:t>Звіт  про рух грошових</w:t>
      </w:r>
      <w:r>
        <w:rPr>
          <w:rFonts w:ascii="Times New Roman" w:eastAsia="Times New Roman" w:hAnsi="Times New Roman" w:cs="Times New Roman"/>
          <w:sz w:val="24"/>
        </w:rPr>
        <w:t xml:space="preserve"> коштів  Товариства, надає  інформацію, яка   дає  користувачам     змогу   оцінювати зміни в чистих активах суб’єкта господарювання, його фінансовій         структурі (у тому числі ліквідність та платоспроможність), а також здатність  </w:t>
      </w:r>
      <w:r>
        <w:rPr>
          <w:rFonts w:ascii="Times New Roman" w:eastAsia="Times New Roman" w:hAnsi="Times New Roman" w:cs="Times New Roman"/>
          <w:sz w:val="24"/>
        </w:rPr>
        <w:br/>
        <w:t>впливати  на  суми  та  строки  грошових  потоків  з  метою  пристосування  до         змінюваних  обставин  та  можливостей у відповідності до МСБО 7 «Звіт про рух грошових коштів».  Інформація  про  грошові  потоки  є  корисною для оцінки здатності ТОВ «Елгран»  генерувати грошові кошти  та  їх  еквіваленти.   Вона   також   підвищує   ступінь  зіставності    звітності    про    результати     діяльності    різних    суб’єктів  господарювання.</w:t>
      </w:r>
      <w:r>
        <w:rPr>
          <w:rFonts w:ascii="Times New Roman" w:eastAsia="Times New Roman" w:hAnsi="Times New Roman" w:cs="Times New Roman"/>
          <w:sz w:val="24"/>
        </w:rPr>
        <w:br/>
        <w:t>Звіт про рух грошових коштів Товариства  відображає  грошові потоки протягом періоду згідно з поділом діяльності на операційну, інвестиційну та фінансову.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Грошові кошти від операційної діяльності показують, якою мірою операції Товариства   генерують грошові кошти, достатні для погашення позик, підтримки операційної потужності, виплати дивідендів та здійснення нових інвестицій без залучення зовнішніх джерел фінансування.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Грошові кошти від інвестиційної діяльності показують, якою мірою здійснювалися видатки на ресурси, призначені для генерування майбутнього прибутку і майбутніх грошових потоків.</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Грошові кошти від фінансової діяльності   показують, в якій мірі можливі претензії щодо майбутніх грошових потоків з боку тих, хто надає капітал Товариству.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звітує про грошові потоки від операційної діяльності застосовуючи «прямий метод»,  згідно з яким розкривається інформація про основні класи валових надходжень грошових коштів чи валових виплат грошових коштів.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i/>
          <w:sz w:val="24"/>
        </w:rPr>
        <w:t>У Примітках до фінансової звітності</w:t>
      </w:r>
      <w:r>
        <w:rPr>
          <w:rFonts w:ascii="Times New Roman" w:eastAsia="Times New Roman" w:hAnsi="Times New Roman" w:cs="Times New Roman"/>
          <w:sz w:val="24"/>
        </w:rPr>
        <w:t xml:space="preserve"> Товариство розкриває:</w:t>
      </w:r>
    </w:p>
    <w:p w:rsidR="001472D7" w:rsidRDefault="00E60293">
      <w:pPr>
        <w:numPr>
          <w:ilvl w:val="0"/>
          <w:numId w:val="9"/>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інформацію про основу складання фінансової звітності і про конкретні облікові політики;</w:t>
      </w:r>
    </w:p>
    <w:p w:rsidR="001472D7" w:rsidRDefault="00E60293">
      <w:pPr>
        <w:numPr>
          <w:ilvl w:val="0"/>
          <w:numId w:val="9"/>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розкриває інформацію, що вимагається МСФЗ, яку не подано у фінансовій звітності;</w:t>
      </w:r>
    </w:p>
    <w:p w:rsidR="001472D7" w:rsidRDefault="00E60293">
      <w:pPr>
        <w:numPr>
          <w:ilvl w:val="0"/>
          <w:numId w:val="9"/>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надає інформацію, яку не подано у фінансовій звітності, але яка є доречною для її розуміння.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Примітки містять інформацію на додаток до поданої у звіті про фінансовий стан, звіті про сукупний дохід, звіті про зміни у власному капіталі та звіті про рух грошових коштів. Примітки надають описові пояснення та детальніший аналіз статей, поданих у фінансових звітах.</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застосовує МСБО 34 « Проміжна фінансова звітність». Воно подає проміжну фінансову звітність за перший квартал поточного фінансового року, за півріччя  поточного фінансового року та за дев`ять місяців поточного фінансового року.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Мінімальний зміст проміжного фінансового звіту  визначається  Товариством   у відповідності до МСБО 34 « Проміжна фінансова звітність» і становить:</w:t>
      </w:r>
    </w:p>
    <w:p w:rsidR="001472D7" w:rsidRDefault="00E60293">
      <w:pPr>
        <w:numPr>
          <w:ilvl w:val="0"/>
          <w:numId w:val="10"/>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стислий звіт про фінансовий стан;</w:t>
      </w:r>
    </w:p>
    <w:p w:rsidR="001472D7" w:rsidRDefault="00E60293">
      <w:pPr>
        <w:numPr>
          <w:ilvl w:val="0"/>
          <w:numId w:val="10"/>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стислий звіт про сукупний дохід;</w:t>
      </w:r>
    </w:p>
    <w:p w:rsidR="001472D7" w:rsidRDefault="00E60293">
      <w:pPr>
        <w:numPr>
          <w:ilvl w:val="0"/>
          <w:numId w:val="10"/>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стислий звіт про зміни у власному капіталі;</w:t>
      </w:r>
    </w:p>
    <w:p w:rsidR="001472D7" w:rsidRDefault="00E60293">
      <w:pPr>
        <w:numPr>
          <w:ilvl w:val="0"/>
          <w:numId w:val="10"/>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стислий звіт про рух грошових коштів;</w:t>
      </w:r>
    </w:p>
    <w:p w:rsidR="001472D7" w:rsidRDefault="00E60293">
      <w:pPr>
        <w:numPr>
          <w:ilvl w:val="0"/>
          <w:numId w:val="10"/>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деякі пояснювальні примітки.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Головною метою подання проміжної фінансової звітності є забезпечення відображення  всієї інформації, доречної для розуміння фінансового стану Товариства та результатів його діяльності протягом проміжного періоду.</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 2. Операційні сегменти.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розкриває та подає інформацію про операційні сегменти у відповідності до МСФЗ 8 «Операційні сегменти».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відображає в звітності окремо інформацію про операційний сегмент, який відповідає будь-якому з таких кількісних порогів:</w:t>
      </w:r>
    </w:p>
    <w:p w:rsidR="001472D7" w:rsidRDefault="00E60293">
      <w:pPr>
        <w:numPr>
          <w:ilvl w:val="0"/>
          <w:numId w:val="11"/>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його відображений у звітності дохід, включаючи як продажі зовнішнім клієнтам, так і між сегментні продажі або трансфертні операції, становить 10% (або більше) сукупного (внутрішнього та зовнішнього доходу) всіх операційних сегментів;</w:t>
      </w:r>
    </w:p>
    <w:p w:rsidR="001472D7" w:rsidRDefault="00E60293">
      <w:pPr>
        <w:numPr>
          <w:ilvl w:val="0"/>
          <w:numId w:val="11"/>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абсолютна величина відображеного в звітності прибутку або збитку становить 10% (або більше) більшої за абсолютною величиною суми:</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а) сукупного відображеного у звітності прибутку всіх операційних не збиткових сегментів</w:t>
      </w:r>
    </w:p>
    <w:p w:rsidR="001472D7" w:rsidRDefault="00E60293">
      <w:pPr>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б) сукупного відображеного у звітності збитку всіх операційних збиткових сегментів</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його активи становлять 10% (або більше) сукупних активів усіх операційних сегментів.</w:t>
      </w:r>
    </w:p>
    <w:p w:rsidR="001472D7" w:rsidRDefault="004D71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визначає на 2020</w:t>
      </w:r>
      <w:r w:rsidR="00E60293">
        <w:rPr>
          <w:rFonts w:ascii="Times New Roman" w:eastAsia="Times New Roman" w:hAnsi="Times New Roman" w:cs="Times New Roman"/>
          <w:sz w:val="24"/>
        </w:rPr>
        <w:t xml:space="preserve"> рік такі операційні сегменти:</w:t>
      </w:r>
    </w:p>
    <w:p w:rsidR="001472D7" w:rsidRDefault="00E60293">
      <w:pPr>
        <w:numPr>
          <w:ilvl w:val="0"/>
          <w:numId w:val="1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добування декоративного та будівельного каменю, вапняку, гіпсу, крейди  та глинистого сланцю.</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 3. Основні засоби.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обліковує основні засоби у відповідності до МСБО 16 «Основні засоби».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Собівартість об’єкта основних засобів визнається активом якщо є ймовірність майбутніх економічних вигод, пов’язаних з об’єктом, котрі надійдуть до Товариства   та собівартість об’єкта можна достовірно оцінити.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визнає основними засобами матеріальні об`єкти, що їх:</w:t>
      </w:r>
    </w:p>
    <w:p w:rsidR="001472D7" w:rsidRDefault="00E60293">
      <w:pPr>
        <w:numPr>
          <w:ilvl w:val="0"/>
          <w:numId w:val="1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утримують для використання у виробництві або постачанні товарів, чи наданні послуг для надання в оренду або для адміністративних цілей;</w:t>
      </w:r>
    </w:p>
    <w:p w:rsidR="001472D7" w:rsidRDefault="00E60293">
      <w:pPr>
        <w:numPr>
          <w:ilvl w:val="0"/>
          <w:numId w:val="1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використовують за очікуванням протягом більше одного року та грошовою вартістю більше 20000,00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після визнання основного засобу активом,  обирає своєю обліковою політикою модель «собівартості» і обліковує основні засоби за собівартістю мінус будь-яка накопичена амортизація та будь-які накопичені збитки від зменшення корисності.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На основні засобі Товариство  нараховує амортизацію, систематично розподіляючи суму активу, що амортизується, протягом строку його  корисної експлуатації. Товариство   застосовує прямолінійний метод амортизації основних засобів. Знос розраховується як зменшення вартості активів до їх залишкової вартості протягом усього очікуваного строку корисного використання. Нарахування зносу починається, коли активи готові до їх цільового використання.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встановлює ліквідаційну вартість основних засобів в сумі 1%  від собівартості основного засобу.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встановлює такі класи основних засобів та строки корисної експлуатації:</w:t>
      </w:r>
    </w:p>
    <w:tbl>
      <w:tblPr>
        <w:tblW w:w="0" w:type="auto"/>
        <w:tblInd w:w="98" w:type="dxa"/>
        <w:tblCellMar>
          <w:left w:w="10" w:type="dxa"/>
          <w:right w:w="10" w:type="dxa"/>
        </w:tblCellMar>
        <w:tblLook w:val="04A0" w:firstRow="1" w:lastRow="0" w:firstColumn="1" w:lastColumn="0" w:noHBand="0" w:noVBand="1"/>
      </w:tblPr>
      <w:tblGrid>
        <w:gridCol w:w="4620"/>
        <w:gridCol w:w="4627"/>
      </w:tblGrid>
      <w:tr w:rsidR="001472D7">
        <w:trPr>
          <w:trHeight w:val="562"/>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jc w:val="center"/>
            </w:pPr>
            <w:r>
              <w:rPr>
                <w:rFonts w:ascii="Times New Roman" w:eastAsia="Times New Roman" w:hAnsi="Times New Roman" w:cs="Times New Roman"/>
                <w:b/>
                <w:sz w:val="28"/>
              </w:rPr>
              <w:lastRenderedPageBreak/>
              <w:t>Класи</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Строки корисної експлуатації</w:t>
            </w:r>
          </w:p>
          <w:p w:rsidR="001472D7" w:rsidRDefault="00E60293">
            <w:pPr>
              <w:spacing w:before="100" w:after="100" w:line="240" w:lineRule="auto"/>
              <w:jc w:val="center"/>
            </w:pPr>
            <w:r>
              <w:rPr>
                <w:rFonts w:ascii="Times New Roman" w:eastAsia="Times New Roman" w:hAnsi="Times New Roman" w:cs="Times New Roman"/>
                <w:b/>
                <w:sz w:val="28"/>
              </w:rPr>
              <w:t>(роки)</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1 – земля та будівлі</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jc w:val="center"/>
            </w:pPr>
            <w:r>
              <w:rPr>
                <w:rFonts w:ascii="Times New Roman" w:eastAsia="Times New Roman" w:hAnsi="Times New Roman" w:cs="Times New Roman"/>
                <w:sz w:val="24"/>
              </w:rPr>
              <w:t>20</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2 – машини та обладнання</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jc w:val="center"/>
              <w:rPr>
                <w:rFonts w:ascii="Calibri" w:eastAsia="Calibri" w:hAnsi="Calibri" w:cs="Calibri"/>
              </w:rPr>
            </w:pPr>
            <w:r>
              <w:rPr>
                <w:rFonts w:ascii="Calibri" w:eastAsia="Calibri" w:hAnsi="Calibri" w:cs="Calibri"/>
              </w:rPr>
              <w:t>5</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3 – транспортні засоби</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jc w:val="center"/>
              <w:rPr>
                <w:rFonts w:ascii="Calibri" w:eastAsia="Calibri" w:hAnsi="Calibri" w:cs="Calibri"/>
              </w:rPr>
            </w:pPr>
            <w:r>
              <w:rPr>
                <w:rFonts w:ascii="Calibri" w:eastAsia="Calibri" w:hAnsi="Calibri" w:cs="Calibri"/>
              </w:rPr>
              <w:t>5</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4 – меблі та приладдя</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jc w:val="center"/>
              <w:rPr>
                <w:rFonts w:ascii="Calibri" w:eastAsia="Calibri" w:hAnsi="Calibri" w:cs="Calibri"/>
              </w:rPr>
            </w:pPr>
            <w:r>
              <w:rPr>
                <w:rFonts w:ascii="Calibri" w:eastAsia="Calibri" w:hAnsi="Calibri" w:cs="Calibri"/>
              </w:rPr>
              <w:t>4</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5 – інші основні засоби</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jc w:val="center"/>
              <w:rPr>
                <w:rFonts w:ascii="Calibri" w:eastAsia="Calibri" w:hAnsi="Calibri" w:cs="Calibri"/>
              </w:rPr>
            </w:pPr>
            <w:r>
              <w:rPr>
                <w:rFonts w:ascii="Calibri" w:eastAsia="Calibri" w:hAnsi="Calibri" w:cs="Calibri"/>
              </w:rPr>
              <w:t>12</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 xml:space="preserve">Клас 6 – незавершене будівництво та невстановлене обладнання </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jc w:val="center"/>
            </w:pPr>
            <w:r>
              <w:rPr>
                <w:rFonts w:ascii="Times New Roman" w:eastAsia="Times New Roman" w:hAnsi="Times New Roman" w:cs="Times New Roman"/>
                <w:sz w:val="24"/>
              </w:rPr>
              <w:t>Знос не нараховується</w:t>
            </w:r>
          </w:p>
        </w:tc>
      </w:tr>
    </w:tbl>
    <w:p w:rsidR="001472D7" w:rsidRDefault="0014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Об’єкти, які знаходяться в процесі незавершеного будівництва чи не введені в експлуатацію придбані основні засоби, капіталізуються як окремий елемент основних засобів. По завершенні будівництва чи введенні в експлуатацію придбаного основного засобу вартість об’єкту переноситься до відповідної категорії основних засобів. Знос на об’єкти незавершеного будівництва не нараховується.</w:t>
      </w:r>
    </w:p>
    <w:p w:rsidR="001472D7" w:rsidRDefault="0014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Метод нарахування зносу, очікуваний строк корисного використання та ліквідаційна вартість переглядаються принаймі раз на рік і коригуються, якщо це необхідно.</w:t>
      </w: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Знос поліпшень  орендованої нерухомості нараховується протягом усього очікуваного строку їх корисного використання на тій самій основі, що і знос власних активів.</w:t>
      </w: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Витрати на ремонт та утримування основних засобів відображаються по мірі їх понесення.</w:t>
      </w: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Певна частина витрат на ремонт капіталізується, а витрати на поточний ремонт відносяться до витрат періоду їх понесення.</w:t>
      </w: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Ремонт та технічне обслуговування основного засобу не звільняє від необхідності нараховувати амортизацію. Проте амортизаційні відрахування можуть дорівнювати нулю, якщо немає виробництва.</w:t>
      </w: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Визнання об’єкту основних засобів припиняється після його вибуття або якщо не очікується одержання майбутніх економічних вигод від його подальшого використання або вибуття.</w:t>
      </w: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Будь-які прибутки або збитки, які виникають у зв’язку із припиненням визнання активу (розраховані як різниця між чистими надходженнями від вибуття активу та його балансовою вартістю), включаються до звіту про сукупні доходи, в якому відбулось припинення визнання об’єкту. </w:t>
      </w:r>
    </w:p>
    <w:p w:rsidR="001472D7" w:rsidRDefault="0014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Дооцінка основного засобу прямо переноситься до нерозподіленого прибутку, коли припиняється визнання активу.</w:t>
      </w: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Інвентаризація основних засобів проводиться раз на рік обов’язково перед складанням річної фінансової звітності. Термін проведення інвентаризації встановлюється Товариством   протягом  IV кварталу поточного року. </w:t>
      </w:r>
    </w:p>
    <w:p w:rsidR="001472D7" w:rsidRDefault="0014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1472D7" w:rsidRDefault="0014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4.  Нематеріальні активи.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обліковує  Нематеріальні активи  у відповідності до МСБО 38 «Нематеріальні активи».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Товариство   визнає нематеріальним активом  - немонетарний актив, який не має фізичної субстанції та може бути ідентифікований.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визнає нематеріальний актив, якщо є ймовірність того, що майбутні економічні вигоди, які відносяться до активу, надходитимуть до суб’єкта господарювання та собівартість активу можна достовірно оцінити.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Нематеріальні активи  визнаються та ідентифікуються у відповідності до МСБО 38 «Нематеріальні активи».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Нематеріальні активи  придбані або створені Товариством  зараховуються на баланс за собівартістю у відповідності до МСБО 38 «Нематеріальні активи».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Після первісного визнання, Товариство оцінює нематеріальний актив за моделлю «собівартості», це модель, коли нематеріальні активи відображаються за собівартістю за вирахуванням накопиченої амортизації або будь-яких накопичених збитків від зменшення корисності.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Суми  нематеріального активу з визначеним строком корисної експлуатації, що амортизується, Товариство розподіляє на систематичній основі протягом строку його корисної експлуатації. Строки корисного використання та методи амортизації нематеріальних активів переглядаються принаймі  раз на рік і коригуються, якщо це необхідно.</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Товариство   застосовує прямолінійний метод амортизації нематеріальних активів.</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Ліквідаційну вартість нематеріального активу з визначеним строком корисної експлуатації Товариство  приймає за нуль.</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встановлює такі класи нематеріальних активів та строки корисної експлуатації:</w:t>
      </w:r>
    </w:p>
    <w:tbl>
      <w:tblPr>
        <w:tblW w:w="0" w:type="auto"/>
        <w:tblInd w:w="98" w:type="dxa"/>
        <w:tblCellMar>
          <w:left w:w="10" w:type="dxa"/>
          <w:right w:w="10" w:type="dxa"/>
        </w:tblCellMar>
        <w:tblLook w:val="04A0" w:firstRow="1" w:lastRow="0" w:firstColumn="1" w:lastColumn="0" w:noHBand="0" w:noVBand="1"/>
      </w:tblPr>
      <w:tblGrid>
        <w:gridCol w:w="4596"/>
        <w:gridCol w:w="4651"/>
      </w:tblGrid>
      <w:tr w:rsidR="001472D7">
        <w:trPr>
          <w:trHeight w:val="562"/>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jc w:val="center"/>
            </w:pPr>
            <w:r>
              <w:rPr>
                <w:rFonts w:ascii="Times New Roman" w:eastAsia="Times New Roman" w:hAnsi="Times New Roman" w:cs="Times New Roman"/>
                <w:b/>
                <w:sz w:val="28"/>
              </w:rPr>
              <w:t>Класи</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jc w:val="center"/>
            </w:pPr>
            <w:r>
              <w:rPr>
                <w:rFonts w:ascii="Times New Roman" w:eastAsia="Times New Roman" w:hAnsi="Times New Roman" w:cs="Times New Roman"/>
                <w:b/>
                <w:sz w:val="28"/>
              </w:rPr>
              <w:t>Строки корисної експлуатації</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1 – комп’ютерне програмне забезпечення</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Відповідно до правовстановлюючого документа</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2 – авторські та суміжні права</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Відповідно до правовстановлюючого документа</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3 – торгові марки та ліцензії</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Відповідно до правовстановлюючого документа</w:t>
            </w:r>
          </w:p>
        </w:tc>
      </w:tr>
      <w:tr w:rsidR="001472D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4 – інші нематеріальні  активи</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Відповідно до правовстановлюючого документа</w:t>
            </w:r>
          </w:p>
        </w:tc>
      </w:tr>
    </w:tbl>
    <w:p w:rsidR="001472D7" w:rsidRDefault="00E60293">
      <w:pPr>
        <w:rPr>
          <w:rFonts w:ascii="Courier New" w:eastAsia="Courier New" w:hAnsi="Courier New" w:cs="Courier New"/>
          <w:sz w:val="20"/>
        </w:rPr>
      </w:pPr>
      <w:r>
        <w:rPr>
          <w:rFonts w:ascii="Calibri" w:eastAsia="Calibri" w:hAnsi="Calibri" w:cs="Calibri"/>
        </w:rPr>
        <w:t xml:space="preserve"> </w:t>
      </w:r>
    </w:p>
    <w:p w:rsidR="001472D7" w:rsidRDefault="0014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Прибуток або збиток від припинення визнання нематеріального активу оцінюються як різниця між чистою виручкою від вибуття активу та балансовою вартістю активу і визнаються у звіті про сукупний дохід як інші доходи або витрати.</w:t>
      </w:r>
    </w:p>
    <w:p w:rsidR="001472D7" w:rsidRDefault="0014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1472D7" w:rsidRDefault="00E6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Інвентаризація нематеріальних активів  проводиться раз на рік обов’язково перед складанням річної фінансової звітності. Термін проведення інвентаризації встановлюється Товариством   протягом  IV кварталу поточного року. </w:t>
      </w:r>
    </w:p>
    <w:p w:rsidR="004D7194" w:rsidRDefault="004D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1472D7" w:rsidRDefault="0014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p>
    <w:p w:rsidR="001472D7" w:rsidRDefault="001472D7">
      <w:pPr>
        <w:spacing w:before="100" w:after="100" w:line="240" w:lineRule="auto"/>
        <w:rPr>
          <w:rFonts w:ascii="Times New Roman" w:eastAsia="Times New Roman" w:hAnsi="Times New Roman" w:cs="Times New Roman"/>
          <w:b/>
          <w:i/>
          <w:sz w:val="24"/>
        </w:rPr>
      </w:pP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5. Інвестиції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обліковує інвестиції у відповідності до МСБО 28 «Інвестиції в асоційовані та спільні Товариства» .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обліковує інвестиції за методом участі в капіталі, котрий передбачає первісне визнання інвестиції за собівартістю з подальшим коригуванням відповідно до зміни частки інвестора в чистих активах об’єкта інвестування після придбання.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припиняє застосовувати метод участі в капіталі, починаючи з дати, коли воно перестає суттєво впливати на асоційоване Товариство.</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Суттєвим впливом Товариство   вважає володіння 20% або більше відсотками прав голосу в об’єкті інвестування. </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6.   Запаси.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Товариство   обліковує  запаси у відповідності до МСБО 2 «Запаси».  Товариство   визнає запасами  активи, які:</w:t>
      </w:r>
    </w:p>
    <w:p w:rsidR="001472D7" w:rsidRDefault="00E60293">
      <w:pPr>
        <w:numPr>
          <w:ilvl w:val="0"/>
          <w:numId w:val="1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утримуються для продажу у звичайному ході бізнесу;</w:t>
      </w:r>
    </w:p>
    <w:p w:rsidR="001472D7" w:rsidRDefault="00E60293">
      <w:pPr>
        <w:numPr>
          <w:ilvl w:val="0"/>
          <w:numId w:val="1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перебувають у процесі виробництва для такого продажу;</w:t>
      </w:r>
    </w:p>
    <w:p w:rsidR="001472D7" w:rsidRDefault="00E60293">
      <w:pPr>
        <w:numPr>
          <w:ilvl w:val="0"/>
          <w:numId w:val="1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існують у формі основних чи допоміжних матеріалів для споживання у виробничому процесі або при  наданні послуг.</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оцінює запаси за меншою з таких величин: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собівартість та чиста вартість реалізації, визначених згідно МСБО 2 «Запаси».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При оцінці запасів за собівартістю Товариство   включає всі витрати на придбання, витрати на переробку, та інші витрати, понесені під час доставки запасів до їх теперішнього місцезнаходження та приведення у теперішній стан.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 оцінці запасів за чистою вартістю реалізації Товариство   оцінює ціну продажу у звичайному ході бізнесу і вираховує з неї попередньо оцінені витрати на завершення та попередньо оцінені витрати, необхідні для здійснення продажу.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Товариство  класифікує запаси:</w:t>
      </w:r>
    </w:p>
    <w:p w:rsidR="001472D7" w:rsidRDefault="00E60293">
      <w:pPr>
        <w:numPr>
          <w:ilvl w:val="0"/>
          <w:numId w:val="1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виробничі запаси;</w:t>
      </w:r>
    </w:p>
    <w:p w:rsidR="001472D7" w:rsidRDefault="00E60293">
      <w:pPr>
        <w:numPr>
          <w:ilvl w:val="0"/>
          <w:numId w:val="1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виробничі допоміжні матеріали;</w:t>
      </w:r>
    </w:p>
    <w:p w:rsidR="001472D7" w:rsidRDefault="00E60293">
      <w:pPr>
        <w:numPr>
          <w:ilvl w:val="0"/>
          <w:numId w:val="1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матеріали;</w:t>
      </w:r>
    </w:p>
    <w:p w:rsidR="001472D7" w:rsidRDefault="00E60293">
      <w:pPr>
        <w:numPr>
          <w:ilvl w:val="0"/>
          <w:numId w:val="1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незавершене виробництво;</w:t>
      </w:r>
    </w:p>
    <w:p w:rsidR="001472D7" w:rsidRDefault="00E60293">
      <w:pPr>
        <w:numPr>
          <w:ilvl w:val="0"/>
          <w:numId w:val="1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готова продукція;</w:t>
      </w:r>
    </w:p>
    <w:p w:rsidR="001472D7" w:rsidRDefault="00E60293">
      <w:pPr>
        <w:numPr>
          <w:ilvl w:val="0"/>
          <w:numId w:val="1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Витрати на придбання запасів складаються з ціни придбання, ввізного мита та інших податків, а також витрат на транспортування, навантаження і розвантаження  та інших витрат безпосередньо пов’язаних з придбанням запасів. Торговельні знижки, інші знижки та інші подібні їм статті вираховуються при визначенні витрат на придбання.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Витрати на переробку запасів охоплюють витрати, прямо пов’язані з одиницями виробництва. Вони також включають систематичний розподіл постійних та змінних виробничих накладних витрат, що виникають при переробці матеріалів у готову продукцію.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Постійні виробничі накладні витрати Товариства  – це ті непрямі витрати на виробництво, які залишаються порівняно незмінними незалежно від обсягу виробництва. До постійних витрат Товариства   належить амортизація, утримання будівель і обладнання, витрати на управління та обслуговування виробничої діяльності.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Змінні виробничі накладні витрати Товариства  – це такі непрямі витрати на виробництво, які змінюються прямо пропорційно обсягу виробництва. До змінних витрат Товариства   належать витрати на сировину та матеріали, купівельні напівфабрикати та комплектуючі вироби, технологічне паливо й електроенергія, витрати на оплату праці працівникам зайнятим у виробництві продукції, нарахування соціального внеску та інші витрати.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Інші витрати Товариство  включає в собівартість запасів тією мірою, якою вони були понесені при доставці запасів до їх теперішнього місцезнаходження та приведення в теперішній стан.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При виконанні послуг запаси оцінюються Товариством   за витратами на їх виробництво. Витрати складаються з витрат на оплату праці та інших витрат на персонал, безпосередньо зайнятий виконанням послуг, включаючи керівний персонал із відповідних накладних витрат.</w:t>
      </w:r>
    </w:p>
    <w:p w:rsidR="001472D7" w:rsidRDefault="00E6029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Товариство визначає собівартість запасів за формулою середньозваженої собівартості. </w:t>
      </w:r>
    </w:p>
    <w:p w:rsidR="001472D7" w:rsidRDefault="00E6029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Згідно з формулою середньозваженої собівартості, собівартість кожної одиниці визначається із середньозваженої собівартості подібних одиниць на початок періоду та собівартості подібних одиниць, що були придбані або вироблені протягом періоду. Середнє значення може бути обчислене на періодичній основі або з отриманням кожної додаткової партії залежно від обставин Товариства.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Перелік і склад статей калькулювання виробничої собівартості Товариство   складає по кожному окремому виду виробленої  продукції.</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Коли запаси реалізовані, їхня балансова вартість визнається витратами періоду, в якому визнається відповідний дохід.</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Сума списання вартості запасів до їх чистої вартості реалізації та втрати запасів визнаються Товариством витратами періоду, в якому відбулося списання або втрата.</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 разі коли запаси розподіляються на інший актив (як компонент основного засобу), вони визнаються витратами протягом строку корисної експлуатації цього активу.</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7. Грошові кошти та їх еквіваленти.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Грошові кошти Товариства та їх еквіваленти включають кошти в банках, касі та інше.</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Для цілей звіту про рух грошових коштів Товариства  грошові кошти та їх еквіваленти складаються з коштів в банках , касі та інше в функціональній валюті представлення фінансової звітності.</w:t>
      </w:r>
    </w:p>
    <w:p w:rsidR="001472D7" w:rsidRDefault="001472D7">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sz w:val="24"/>
        </w:rPr>
        <w:t xml:space="preserve"> </w:t>
      </w:r>
      <w:r>
        <w:rPr>
          <w:rFonts w:ascii="Times New Roman" w:eastAsia="Times New Roman" w:hAnsi="Times New Roman" w:cs="Times New Roman"/>
          <w:b/>
          <w:i/>
          <w:sz w:val="24"/>
        </w:rPr>
        <w:t>8. Операції в іноземній валюті.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 переведенні результатів та фінансового стану Товариства у валюту подання фінансової звітності Товариство   керується МСБО 21 «Вплив змін валютних курсів».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Операції, деноміновані у валютах, відмінних від відповідної функціональної валюти,  відображаються Товариством   у функціональній валюті за обмінним курсом, що діє на дату проведення операції.</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Монетарні активи та зобов’язання, деноміновані в іноземних валютах, перераховуються у функціональну валюту за обмінним курсом на звітну дату.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Немонетарні статті, які оцінюються за історичною вартістю в іноземній валюті, перераховуються за обмінним курсом, що діяв на дату проведення операції.</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Результат такого перерахунку визнається в прибутках та збитках.</w:t>
      </w:r>
    </w:p>
    <w:p w:rsidR="004D7194" w:rsidRDefault="004D7194">
      <w:pPr>
        <w:spacing w:before="100" w:after="100" w:line="240" w:lineRule="auto"/>
        <w:rPr>
          <w:rFonts w:ascii="Times New Roman" w:eastAsia="Times New Roman" w:hAnsi="Times New Roman" w:cs="Times New Roman"/>
          <w:sz w:val="24"/>
        </w:rPr>
      </w:pPr>
    </w:p>
    <w:p w:rsidR="004D7194" w:rsidRDefault="004D7194">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9. Зменшення корисності активів.</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застосовує МСБО 36 «Зменшення корисності активів» для забезпечення обліку  своїх активів за сумою, яка не є більшою ніж сума їх очікуваного відшкодування .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Корисність активу зменшується, коли балансова вартість активу перевищує суму його очікуваного відшкодування.  Сума, на яку  балансова вартість активу або одиниці, що генерує грошові кошти, перевищує суму  його (її) очікуваного відшкодування  визнається збитком від зменшення корисності.</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10. Фінансові інструменти.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визнає, оцінює  та подає  інформацію щодо фінансових інструментів у відповідності до  МСБО 32  «Фінансові інструменти: подання», МСФЗ 7 «Фінансові інструменти: розкриття інформації», МСФЗ 9 «Фінансові інструменти»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визнає фінансові активи та зобов’язання у своєму звіті про фінансовий стан, коли воно стає стороною у контрактних взаємовідносинах, щодо певного інструменту. Фінансові активи та фінансові зобов’язання первісно оцінюються за справедливою вартістю. </w:t>
      </w:r>
    </w:p>
    <w:p w:rsidR="001472D7" w:rsidRDefault="00E60293">
      <w:pPr>
        <w:spacing w:before="100" w:after="100" w:line="240" w:lineRule="auto"/>
        <w:rPr>
          <w:rFonts w:ascii="Times New Roman" w:eastAsia="Times New Roman" w:hAnsi="Times New Roman" w:cs="Times New Roman"/>
          <w:i/>
          <w:sz w:val="24"/>
        </w:rPr>
      </w:pPr>
      <w:r>
        <w:rPr>
          <w:rFonts w:ascii="Times New Roman" w:eastAsia="Times New Roman" w:hAnsi="Times New Roman" w:cs="Times New Roman"/>
          <w:i/>
          <w:sz w:val="24"/>
        </w:rPr>
        <w:t>Фінансові активи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Фінансовий актив – це будь-який актив, що є:</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грошовими коштами;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інструментом власного капіталу іншого суб’єкта господарювання;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контрактним правом отримувати грошові кошти або інший фінансовий актив від іншого суб’єкта господарювання, або обмінювати фінансові інструменти з іншим суб’єктом господарювання за умови, які є потенційно  сприятливими;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контрактом, розрахунки за яким здійснюватимуться або можуть здійснюватися власними інструментами капіталу суб’єкту господарювання.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Фінансові активи оцінюються на наявність ознак знецінення на кожну звітну дату. Фінансові активи вважаються знеціненими, коли існують об’єктивні свідчення того, що у результаті однієї або більше подій, які відбулися після первісного визнання фінансового активу, очікуваний майбутній рух грошових коштів від цієї інвестиції зазнав негативного впливу.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Балансова вартість фінансового активу зменшується на суму збитку від знецінення безпосередньо для всіх фінансових активів, за винятком торгової та іншої дебіторської заборгованості, для якої балансова вартість зменшується через використання резерву сумнівних боргів. У тих випадках, коли торгова дебіторська заборгованість вважається безнадійною, вона списується за рахунок резерву сумнівних боргів. Подальше відшкодування раніше списаних сум визнається доходом. Зміна балансової вартості резерву сумнівних боргів визнається у складі прибутку або збитку.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припиняє визнавати фінансовий актив лише в тих випадках, коли припиняють свою дію договірні права на потоки грошових коштів від цього активу, або ж коли передається фінансовий актив і всі істотні ризики й вигоди, пов’язані з володінням активом, і продовжує контролювати переданий актив, тоді визнається своя частка в цьому активі та пов’язане з ним зобов’язання на суму, яку йому можливо, потрібно буде заплатити.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Якщо Товариство зберігає усі істотні ризики і вигоди, пов’язані із володінням переданим фінансовим активом, воно продовжує визнавати цей фінансовий актив.</w:t>
      </w:r>
    </w:p>
    <w:p w:rsidR="001472D7" w:rsidRDefault="00E60293">
      <w:pPr>
        <w:spacing w:before="100" w:after="10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Фінансові зобов’язання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Фінансовий інструмент є фінансовим зобов’язанням, якщо існує контрактне зобов’язання суб’єкта господарювання  або сплатити кошти або інші фінансові інструменти утримувачу фінансових інструментів, або обміняти інші фінансові інструменти із утримувачем за умов потенційних несприятливих умов для суб’єкта, що випускає фінансові інструменти.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Фінансові зобов’язання Товариства включають торгову та іншу кредиторську заборгованість, кредити і позики та інші поточні зобов’язання.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Визнання фінансового зобов’язання припиняється, якщо зобов’язання погашене, анульоване або строк його дії минув. Якщо наявне фінансове зобов’язання замінюється іншим зобов’язанням перед тим самим кредитором на суттєво відмінних умовах, або якщо умови наявного зобов’язання значно змінені, то така заміна або зміни обліковуються як припинення визнання первісного зобов’язання і початок визнання нового зобов’язання, а різниця в їх балансовій вартості визнається у звіті про сукупний дохід.</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11.    Класифікація поточна та непоточна.</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Операційний цикл Товариства  дорівнює дванадцяти місяцям і визнається як час між придбанням активів для переробки та реалізацією їх у грошові кошти або еквіваленти грошових коштів.</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Актив  класифікується як поточний, якщо:</w:t>
      </w:r>
    </w:p>
    <w:p w:rsidR="001472D7" w:rsidRDefault="00E60293">
      <w:pPr>
        <w:numPr>
          <w:ilvl w:val="0"/>
          <w:numId w:val="16"/>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сподівається реалізувати цей актив або має намір продати чи спожити його у своєму нормальному операційному циклі;</w:t>
      </w:r>
    </w:p>
    <w:p w:rsidR="001472D7" w:rsidRDefault="00E60293">
      <w:pPr>
        <w:numPr>
          <w:ilvl w:val="0"/>
          <w:numId w:val="16"/>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утримує актив в основному з метою продажу;</w:t>
      </w:r>
    </w:p>
    <w:p w:rsidR="001472D7" w:rsidRDefault="00E60293">
      <w:pPr>
        <w:numPr>
          <w:ilvl w:val="0"/>
          <w:numId w:val="16"/>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сподівається реалізувати актив протягом дванадцяти місяців після звітного періоду;</w:t>
      </w:r>
    </w:p>
    <w:p w:rsidR="001472D7" w:rsidRDefault="00E60293">
      <w:pPr>
        <w:numPr>
          <w:ilvl w:val="0"/>
          <w:numId w:val="16"/>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актив є грошовими коштами чи  еквівалентами грошових коштів, якщо немає обмеження щодо їх використання.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Інші активи  класифікуються як непоточні.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Зобов’язання  класифікується як поточне, якщо:</w:t>
      </w:r>
    </w:p>
    <w:p w:rsidR="001472D7" w:rsidRDefault="00E60293">
      <w:pPr>
        <w:numPr>
          <w:ilvl w:val="0"/>
          <w:numId w:val="1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сподівається погасити це зобов’язання в ході свого нормального операційного циклу;</w:t>
      </w:r>
    </w:p>
    <w:p w:rsidR="001472D7" w:rsidRDefault="00E60293">
      <w:pPr>
        <w:numPr>
          <w:ilvl w:val="0"/>
          <w:numId w:val="1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утримує це зобов’язання в основному з метою продажу;</w:t>
      </w:r>
    </w:p>
    <w:p w:rsidR="001472D7" w:rsidRDefault="00E60293">
      <w:pPr>
        <w:numPr>
          <w:ilvl w:val="0"/>
          <w:numId w:val="1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зобов’язання підлягає погашенню протягом дванадцяти місяців після звітного періоду;</w:t>
      </w:r>
    </w:p>
    <w:p w:rsidR="001472D7" w:rsidRDefault="00E60293">
      <w:pPr>
        <w:numPr>
          <w:ilvl w:val="0"/>
          <w:numId w:val="1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не має права відстрочити погашення зобов’язання протягом як мінімум дванадцяти місяців після звітного періоду.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Інші зобов’язання класифікуються як непоточні.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Фінансові інструменти класифікуються виходячи з очікуваного строку їх корисного використання.</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12.      Витрати на позики.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У відповідності до МСБО 23 «Витрати на позики» Товариство  визнає  витрати на позики, що безпосередньо відносяться до придбання, будівництва або виробництва кваліфікованого активу і є собівартістю такого активу та інші витрати на позики, які визнаються як витрати.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Витратами на позики Товариство   вважає  витрати на сплату відсотків та інші витрати, понесені  у зв`язку із запозиченням коштів. </w:t>
      </w:r>
    </w:p>
    <w:p w:rsidR="001472D7" w:rsidRDefault="001472D7">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sz w:val="24"/>
        </w:rPr>
        <w:lastRenderedPageBreak/>
        <w:t> </w:t>
      </w:r>
      <w:r>
        <w:rPr>
          <w:rFonts w:ascii="Times New Roman" w:eastAsia="Times New Roman" w:hAnsi="Times New Roman" w:cs="Times New Roman"/>
          <w:b/>
          <w:i/>
          <w:sz w:val="24"/>
        </w:rPr>
        <w:t>13. Пенсійні зобов`язання та інші виплати персоналу.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 відповідності до МСБО 19 «Виплати працівникам» Товариство   визнає :</w:t>
      </w:r>
    </w:p>
    <w:p w:rsidR="001472D7" w:rsidRDefault="00E60293">
      <w:pPr>
        <w:numPr>
          <w:ilvl w:val="0"/>
          <w:numId w:val="18"/>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зобов`язання, якщо працівник надав послугу в обмін на виплати, які будуть сплачені в майбутньому;</w:t>
      </w:r>
    </w:p>
    <w:p w:rsidR="001472D7" w:rsidRDefault="00E60293">
      <w:pPr>
        <w:numPr>
          <w:ilvl w:val="0"/>
          <w:numId w:val="18"/>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витрати,  якщо Товариство   споживає економічну вигоду, що виникає внаслідок послуги, наданої працівником в обмін на виплати працівникам .</w:t>
      </w:r>
    </w:p>
    <w:p w:rsidR="001472D7" w:rsidRDefault="00E60293">
      <w:pPr>
        <w:spacing w:before="100" w:after="10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Товариство проводить такі виплати працівникам:</w:t>
      </w:r>
    </w:p>
    <w:p w:rsidR="001472D7" w:rsidRDefault="00E60293">
      <w:pPr>
        <w:numPr>
          <w:ilvl w:val="0"/>
          <w:numId w:val="19"/>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короткострокові виплати працівникам, такі як заробітна плата, внески на соціальне забезпечення, оплачені щорічні відпустки та тимчасова непрацездатність, премії та матеріальні допомоги;</w:t>
      </w:r>
    </w:p>
    <w:p w:rsidR="001472D7" w:rsidRDefault="00E60293">
      <w:pPr>
        <w:numPr>
          <w:ilvl w:val="0"/>
          <w:numId w:val="19"/>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виплати при звільнені.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здійснює певні відрахування соціальних внесків за ставками, що діють протягом року, виходячи з нарахованої заробітної плати. Ці відрахування відображаються як витрати у тому звітному періоді, до якого відноситься відповідна заробітна плата.</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14. Забезпечення, умовні зобов’язання та умовні активи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Забезпечення визнаються, коли в результаті певної події в минулому Товариство   має юридичні або добровільно взяті на себе зобов`язання, для врегулювання яких з великим ступенем ймовірності буде потрібний відтік ресурсів, які втілюють у собі майбутні економічні вигоди, а також суму зобов’язання можна достовірно визначити.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визнає забезпечення у відповідності до МСБО 37 «Забезпечення, умовні зобов’язання та умовні активи».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Витрати, що стосуються забезпечення, відображаються у прибутках і збитках  за вирахуванням відшкодування.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використовує забезпечення лише для тих видатків, для яких це забезпечення створено.</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Умовні активи та зобов’язання визнаються Товариством  у відповідності до МСБО 37 «Забезпечення, умовні зобов’язання та умовні активи».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Умовними активами Товариство   визнає можливі активи, які виникають внаслідок минулих подій і існування яких підтвердиться лише після того, як відбудеться або не відбудеться одна чи кілька невизначених майбутніх подій, котрі не повністю контролюються Товариством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Умовними зобов’язаннями  Товариство   визнає можливі зобов’язання , які виникають внаслідок минулих подій і існування яких підтвердиться лише після того, як відбудеться або не відбудеться одна чи кілька невизначених майбутніх подій, котрі не повністю контролюються Товариством  або це можуть бути існуючі зобов’язання, які виникли в результаті минулих подій, але вибуття ресурсів щодо їх погашення є малоймовірним та сума їх не може бути достовірно оцінена.</w:t>
      </w:r>
    </w:p>
    <w:p w:rsidR="001472D7" w:rsidRDefault="001472D7">
      <w:pPr>
        <w:spacing w:before="100" w:after="100" w:line="240" w:lineRule="auto"/>
        <w:rPr>
          <w:rFonts w:ascii="Times New Roman" w:eastAsia="Times New Roman" w:hAnsi="Times New Roman" w:cs="Times New Roman"/>
          <w:sz w:val="24"/>
        </w:rPr>
      </w:pPr>
    </w:p>
    <w:p w:rsidR="001472D7" w:rsidRDefault="001472D7">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15. Оренда.</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Товариство  застосовує МСФЗ 16 «Оренда»  проводячи операції, що передбачають договори, які передають право контролювати користування ідентифікованим активом протягом певного періоду часу в обмін на компенсацію.</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lastRenderedPageBreak/>
        <w:t>Товариство визначає строк оренди, як невідмовний період оренди разом з обома такими періодами:</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  періодами, які охоплюються можливістю продовження оренди у випадку, якщо орендар</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обґрунтовано впевнений у тому, що він реалізує таку можливість; та</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 періодами, які охоплюються можливістю припинити дію оренди, якщо орендар обґрунтовано впевнений у тому, що він не реалізує таку можливість.</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Виступаючи орендарем Товариство визнає актив з права користування за собівартістю та орендне зобов’язання оцінене  за теперішньою вартістю орендних платежів, не сплачених на таку дату.</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Собівартість активу з права користування складається з:</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 суми первісної оцінки орендного зобов’язання;</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 будь-яких орендних платежів, здійснених на, або до дати початку оренди, за вирахуванням отриманих стимулів до оренди;</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 будь-які первісні прямі витрати, понесені орендарем; та</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 оцінку витрат, які будуть понесені орендарем у процесі демонтажу та переміщення активу.</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Товариство  може вирішити не застосовувати ці вимоги до:</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  короткострокової оренди; та</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 xml:space="preserve">-  оренди, за якою базовий актив є малоцінним.  </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Товариство  виступаючи орендодавцем  класифікує кожну зі своїх оренд або як операційну оренду, або як фінансову оренду.</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Оренда класифікується як фінансова оренда, якщо вона передає в основному всі ризики та</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вигоди, пов’язані з правом власності на базовий актив. Оренда класифікується як операційна оренда, якщо вона не передає в основному всі ризики та вигоди щодо права власності на базовий актив.</w:t>
      </w:r>
    </w:p>
    <w:p w:rsidR="001472D7" w:rsidRDefault="00E6029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обліковує модифікацію оренди у разі змін умов та обставин  конкретного договору.</w:t>
      </w:r>
    </w:p>
    <w:p w:rsidR="001472D7" w:rsidRDefault="00E6029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Платежі за оренду відображаються у складі прибутків і збитків протягом усього строку відповідної оренди.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Розкриття інформації про операції з оренди проводиться  Товариством   у відповідності з МСФЗ 16 «Оренда».</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16. Доходи і витрати.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застосовує МСФЗ 15 «Дохід від договорів з клієнтами»  до обліку доходу. Товариство обліковує договір  з клієнтом тільки тоді, коли виконуються всі перелічені далі критерії: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сторони договору схвалили договір (письмово, усно чи у відповідності з іншою звичною практикою ведення бізнесу) і готові виконувати свої зобов'язання;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Товариство може визначити права кожної сторони відносно товарів або послуг, які будуть передаватися;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Товариство  може  визначити  умови  оплати  за  товари  або  послуги,  які будуть передаватися;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договір має комерційну сутність (тобто очікується, що ризик, час або сума майбутніх грошових потоків Товариства зміняться внаслідок договору); та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цілком імовірно, що Товариство отримає компенсацію, на яку воно матиме право  в  обмін  на  товари  або  послуги,  які  будуть  передані  клієнту.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Модифікація  договору  –  це  зміна  обсягу  або  ціни  (чи  обох)  договору,  затверджена  сторонами договору.  Модифікація  договору  існує,  коли  сторони  договору  затвердили модифікацію,  яка  або  створює  нові,  або  змінює  існуючі юридично  обов’язкові  права  та  обов'язки сторін договору.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На момент укладення договору Товариство оцінює товари або послуги, обіцяні в договорі  з  клієнтом,  та визначає  як  зобов’язання щодо  виконання  кожну  обіцянку:</w:t>
      </w:r>
    </w:p>
    <w:p w:rsidR="001472D7" w:rsidRDefault="00E60293">
      <w:pPr>
        <w:numPr>
          <w:ilvl w:val="0"/>
          <w:numId w:val="20"/>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передати клієнтові або товар чи послугу (або сукупність товарів чи послуг), які є відокремленими;  </w:t>
      </w:r>
    </w:p>
    <w:p w:rsidR="001472D7" w:rsidRDefault="00E60293">
      <w:pPr>
        <w:numPr>
          <w:ilvl w:val="0"/>
          <w:numId w:val="20"/>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або  серію  відокремлених  товарів  або  послуг,  які  по  суті  є  однаковими  та  передаються клієнтові за однією і тією самою схемою.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Щоб визначити ціну операції, Товариство  розглядає умови договору та свою звичну  практику  бізнесу.  Ціна  операції  –  це  сума  компенсації,  яку  Товариство очікує отримати право в обмін на передачу клієнтові обіцяних товарів або послуг за винятком сум, зібраних від імені третіх осіб (наприклад, деяких податків на продаж). Компенсація, обіцяна в договорі з клієнтом, може включати фіксовані суми, змінні суми або і ті й ті суми.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Розподіл  ціни  операції  на  зобов’язання щодо  виконання  здійснюється  для  того, щоб  Товариство  розподілило  ціну  операції  на  кожне  зобов'язання  щодо  виконання  (або відокремлений  товар  або  послугу)  у  сумі,  яка  відображає  суму  компенсації,  на  яку воно сподівається отримати право в обмін на передачу обіцяних товарів або послуг клієнтові. Для досягнення поставленої мети розподілу ціни операції Товариство розподіляє ціну операції на кожне зобов'язання щодо виконання, визначене у договорі, виходячи з відносної окремо взятої ціни продажу.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Виручка визнається Товариством в момент, коли кожне зобов’язання за договором виконано. Товариство може визнавати виручку протягом певного періоду або миттєво. Виручка визнається миттєво, крім випадків, коли одночасно виконуються такі умови:</w:t>
      </w:r>
    </w:p>
    <w:p w:rsidR="001472D7" w:rsidRDefault="00E60293">
      <w:pPr>
        <w:numPr>
          <w:ilvl w:val="0"/>
          <w:numId w:val="21"/>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клієнт отримує і споживає вигоди від результатів роботи виконавця відповідно до виконаних робіт;</w:t>
      </w:r>
    </w:p>
    <w:p w:rsidR="001472D7" w:rsidRDefault="00E60293">
      <w:pPr>
        <w:numPr>
          <w:ilvl w:val="0"/>
          <w:numId w:val="21"/>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результати роботи виконавця створюють або покращують актив, контрольований замовником;</w:t>
      </w:r>
    </w:p>
    <w:p w:rsidR="001472D7" w:rsidRDefault="00E60293">
      <w:pPr>
        <w:numPr>
          <w:ilvl w:val="0"/>
          <w:numId w:val="21"/>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актив, створюваний в процесі виконання робіт, не може бути використаний виконавцем з іншою метою;</w:t>
      </w:r>
    </w:p>
    <w:p w:rsidR="001472D7" w:rsidRDefault="00E60293">
      <w:pPr>
        <w:numPr>
          <w:ilvl w:val="0"/>
          <w:numId w:val="21"/>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виконавець має право на оплату виконаної на поточну дату частки робіт.</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Витрати на виконання договору -  якщо витрати, понесені при виконанні договору з клієнтом, не належать до сфери дії  іншого Стандарту  (наприклад,  МСБО  2  “Запаси”,  МСБО  16  “Основні  засоби”  або  МСБО  38 “Нематеріальні активи”),  Товариство визнає </w:t>
      </w:r>
      <w:r>
        <w:rPr>
          <w:rFonts w:ascii="Times New Roman" w:eastAsia="Times New Roman" w:hAnsi="Times New Roman" w:cs="Times New Roman"/>
          <w:sz w:val="24"/>
        </w:rPr>
        <w:lastRenderedPageBreak/>
        <w:t xml:space="preserve">актив внаслідок витрат, понесених з метою виконання договору, тільки якщо ці витрати відповідають усім таким критеріям: </w:t>
      </w:r>
    </w:p>
    <w:p w:rsidR="001472D7" w:rsidRDefault="00E60293">
      <w:pPr>
        <w:numPr>
          <w:ilvl w:val="0"/>
          <w:numId w:val="2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витрати відносяться безпосередньо до договору або очікуваного договору, який Товариство може чітко окреслити (наприклад, витрати, пов'язані з послугами, що надаватимуться  в  рамках  оновлення  існуючого  договору,  або  витрати  на  розробку активу,  який  буде  переданий  за  конкретним  договором,  який  наразі  ще  не затверджений); </w:t>
      </w:r>
    </w:p>
    <w:p w:rsidR="001472D7" w:rsidRDefault="00E60293">
      <w:pPr>
        <w:numPr>
          <w:ilvl w:val="0"/>
          <w:numId w:val="2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витрати  генерують  або  покращують  ресурси  Товариства,  які  будуть використовуватися  при  задоволення  (або  у  процесі  задоволення)  зобов'язань  щодо виконання у майбутньому; та </w:t>
      </w:r>
    </w:p>
    <w:p w:rsidR="001472D7" w:rsidRDefault="00E60293">
      <w:pPr>
        <w:numPr>
          <w:ilvl w:val="0"/>
          <w:numId w:val="2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очікується, що витрати будуть відшкодовані.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До витрат, пов'язаних безпосередньо з договором (або конкретним очікуваним договором), належать: </w:t>
      </w:r>
    </w:p>
    <w:p w:rsidR="001472D7" w:rsidRDefault="00E60293">
      <w:pPr>
        <w:numPr>
          <w:ilvl w:val="0"/>
          <w:numId w:val="2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прямі трудові витрати (наприклад, заробітна плата працівників, які надають обіцяні послуги безпосередньо клієнту);</w:t>
      </w:r>
    </w:p>
    <w:p w:rsidR="001472D7" w:rsidRDefault="00E60293">
      <w:pPr>
        <w:numPr>
          <w:ilvl w:val="0"/>
          <w:numId w:val="2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прямі  витрати  на  матеріали  (наприклад,  сировина  та  матеріали, що  використовуються  у наданні обіцяних послуг клієнту); </w:t>
      </w:r>
    </w:p>
    <w:p w:rsidR="001472D7" w:rsidRDefault="00E60293">
      <w:pPr>
        <w:numPr>
          <w:ilvl w:val="0"/>
          <w:numId w:val="2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розподіл  витрат,  безпосередньо  пов'язаних  з  договором  або  з  діяльністю  за  договором (наприклад, витрати на здійснення управління договором та контролю за його виконанням, страхування  та  амортизацію  інструментів  і  обладнання,  що  використовуються  при виконанні договору); </w:t>
      </w:r>
    </w:p>
    <w:p w:rsidR="001472D7" w:rsidRDefault="00E60293">
      <w:pPr>
        <w:numPr>
          <w:ilvl w:val="0"/>
          <w:numId w:val="2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витрати, які, відповідно до договору, явно оплачує клієнт; та </w:t>
      </w:r>
    </w:p>
    <w:p w:rsidR="001472D7" w:rsidRDefault="00E60293">
      <w:pPr>
        <w:numPr>
          <w:ilvl w:val="0"/>
          <w:numId w:val="2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інші витрати, понесені тільки тому, що суб’єкт господарювання уклали договір (наприклад, платежі субпідрядникам)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визнає як витрати у момент їх виникнення: </w:t>
      </w:r>
    </w:p>
    <w:p w:rsidR="001472D7" w:rsidRDefault="00E60293">
      <w:pPr>
        <w:numPr>
          <w:ilvl w:val="0"/>
          <w:numId w:val="2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загальні та адміністративні витрати (якщо ці витрати не є такими, що їх явно оплачує клієнт відповідно  до  договору); </w:t>
      </w:r>
    </w:p>
    <w:p w:rsidR="001472D7" w:rsidRDefault="00E60293">
      <w:pPr>
        <w:numPr>
          <w:ilvl w:val="0"/>
          <w:numId w:val="2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вартість відходів, праці або інших ресурсів для виконання договору, які не були відображені в ціні договору; </w:t>
      </w:r>
    </w:p>
    <w:p w:rsidR="001472D7" w:rsidRDefault="00E60293">
      <w:pPr>
        <w:numPr>
          <w:ilvl w:val="0"/>
          <w:numId w:val="2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витрати,  що  відносяться  до  задоволених  зобов'язань  щодо  виконання  (або  частково задоволених  зобов'язань щодо  виконання)  в  договорі  (тобто  витрати,  які  відносяться  до минулої  діяльності); і </w:t>
      </w:r>
    </w:p>
    <w:p w:rsidR="001472D7" w:rsidRDefault="00E60293">
      <w:pPr>
        <w:numPr>
          <w:ilvl w:val="0"/>
          <w:numId w:val="2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витрати, щодо яких Товариство не може відокремити, чи відносяться витрати до  незадоволених  зобов'язань  щодо  виконання,  чи  до  задоволених  зобов'язань  щодо виконання (або частково задоволених зобов'язань щодо виконання). </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17. Податки на прибуток.</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у відповідності до МСБО 12 «Податки на прибуток» визначає обліковий підхід до податків на прибуток . Товариство   обліковує поточні та майбутні податкові наслідки:</w:t>
      </w:r>
    </w:p>
    <w:p w:rsidR="001472D7" w:rsidRDefault="00E60293">
      <w:pPr>
        <w:numPr>
          <w:ilvl w:val="0"/>
          <w:numId w:val="2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майбутнього відшкодування ( компенсації)  балансової вартості активів (зобов`язань), які визнані  в звіті про фінансовий стан Товариства;</w:t>
      </w:r>
    </w:p>
    <w:p w:rsidR="001472D7" w:rsidRDefault="00E60293">
      <w:pPr>
        <w:numPr>
          <w:ilvl w:val="0"/>
          <w:numId w:val="2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операцій та інших подій поточного періоду, які визнані у фінансовій звітності Товариства.</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Даний стандарт Товариство  застосовує до складу податків на прибуток включаючи всі податки, що базуються на оподатковуваному прибутку.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Якщо є ймовірність того,  що відшкодування або компенсація балансової вартості активу чи зобов`язання збільшить (зменшить) суму майбутніх податкових платежів порівняно з тим, якими вони були у разі відсутності податкових наслідків відшкодування або компенсації, Товариство, визнає відстрочене податкове зобов`язання  (відстрочений податковий актив).</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оцінює поточні податкові активи та зобов’язання за поточний та попередній періоди за сумою, очікуваною до відшкодування від податкових органів або до сплати податковим органам. Податкові ставки та податкове законодавство для розрахунку цієї суми – це ставки і законодавство, прийняті на звітну дату.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визначає відстрочені податкові активи і зобов`язання  на звітну дату між податковою базою активів і зобов`язань та їх балансовою вартістю для цілей фінансової звітності.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Відстрочений податок на прибуток розраховується за методом зобов’язань шляхом визначення тимчасових різниць на звітну дату між податковою базою активів і зобов’язань та їх балансовою вартістю для цілей фінансової звітності.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Відстрочені податкові активи з податку на прибуток визнаються за всіма тимчасовими різницями, що підлягають вирахуванню та перенесеними податковими збитками, у тій мірі, в якій існує значна ймовірність того, що Товариство  матиме оподатковуваний прибуток, проти якого можуть бути зараховані тимчасові різниці, що підлягають вирахуванню.</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Відстрочені податкові активи та відстрочені податкові зобов’язання заліковуються один проти одного, якщо є юридично закріплене право заліку поточних податкових активів і зобов’язань.</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Відстрочений податок, що відноситься до статей, визнаних не у складі прибутку або збитку, також не визнається у складі прибутку або збитку. Статті відстрочених податків визнаються відповідно до операцій, на яких вони ґрунтуються, або у складі іншого сукупного доходу, або безпосередньо в капіталі.</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18. Події після звітної дати.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 відповідності до МСБО10 «Події після звітного періоду» Товариство визначає  сприятливі та несприятливі події, які відбуваються з кінця звітного періоду до дати затвердження  фінансової звітності до випуску. Товариство   визначає два типа подій:</w:t>
      </w:r>
    </w:p>
    <w:p w:rsidR="001472D7" w:rsidRDefault="00E60293">
      <w:pPr>
        <w:numPr>
          <w:ilvl w:val="0"/>
          <w:numId w:val="26"/>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події, які свідчать про умови, що існували на кінець звітного періоду( події , які вимагають коригування після звітного періоду);</w:t>
      </w:r>
    </w:p>
    <w:p w:rsidR="001472D7" w:rsidRDefault="00E60293">
      <w:pPr>
        <w:numPr>
          <w:ilvl w:val="0"/>
          <w:numId w:val="26"/>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події, які свідчать про умови, що виникли після звітного періоду ( події, які не вимагають коригування після звітного періоду).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Згідно вимог МСБО 10 «Події після звітного періоду» Товариство  коригує  фінансову звітність стосовно подій після звітного періоду та розкриває інформацію про такі коригування.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Події, що відбулися після звітної дати, які не є коригуючими подіями, відображаються в примітках до фінансової звітності, якщо вони є суттєвими.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стверджує, що не буде складати фінансової звітності на основі припущення безперервності, якщо події після звітного періоду свідчать про неприйнятність припущення безперервності.</w:t>
      </w: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19. Зв’язані  сторони.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у відповідності до МСБО 24  «Розкриття інформації про зв’язані сторони» розкриває у фінансовій звітності інформацію, необхідну для привернення уваги до </w:t>
      </w:r>
      <w:r>
        <w:rPr>
          <w:rFonts w:ascii="Times New Roman" w:eastAsia="Times New Roman" w:hAnsi="Times New Roman" w:cs="Times New Roman"/>
          <w:sz w:val="24"/>
        </w:rPr>
        <w:lastRenderedPageBreak/>
        <w:t>можливого впливу на фінансовий стан і на прибуток чи збиток, спричиненого існуванням зв’язаних сторін, а також операціями та залишками заборгованості.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Зв’язаними особами Товариство   вважає фізичних або юридичних осіб за такими ознаками:</w:t>
      </w:r>
    </w:p>
    <w:p w:rsidR="001472D7" w:rsidRDefault="00E60293">
      <w:pPr>
        <w:numPr>
          <w:ilvl w:val="0"/>
          <w:numId w:val="2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фізична особа або близький родич такої фізичної особи, що контролює Товариство - має суттєвий вплив або є членом провідного управлінського персоналу;</w:t>
      </w:r>
    </w:p>
    <w:p w:rsidR="001472D7" w:rsidRDefault="00E60293">
      <w:pPr>
        <w:numPr>
          <w:ilvl w:val="0"/>
          <w:numId w:val="2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юридична особа, що контролює Товариство - має суттєвий вплив або є членом провідного управлінського персоналу;</w:t>
      </w:r>
    </w:p>
    <w:p w:rsidR="001472D7" w:rsidRDefault="00E60293">
      <w:pPr>
        <w:numPr>
          <w:ilvl w:val="0"/>
          <w:numId w:val="2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юридична особа, що перебуває під спільним контролем разом з Товариством  ;</w:t>
      </w:r>
    </w:p>
    <w:p w:rsidR="001472D7" w:rsidRDefault="00E60293">
      <w:pPr>
        <w:numPr>
          <w:ilvl w:val="0"/>
          <w:numId w:val="27"/>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інше, передбачене МСБО 24.</w:t>
      </w:r>
    </w:p>
    <w:p w:rsidR="001472D7" w:rsidRDefault="001472D7">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20. Суттєві облікові судження, оцінки й припущення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При   складанні   фінансової   звітності   згідно   з   МСФЗ   керівництво   використовувало   професійні   судження, допущення та розрахункові оцінки, які мають відношення до питань відображення активів і зобов’язань та розкриття інформації щодо умовних активів і зобов’язань. Фактичні результати можуть відрізнятися від цих оцінок.</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Допущення,  та  зроблені  на  їх основі  розрахункові  оцінки,  постійно аналізуються на предмет необхідності   їх зміни. Зміни в розрахункових оцінках визнаються в тому звітному періоді, коли ці оцінки були переглянуті та у всіх послідуючих періодах , в яких відбулися вказані зміни.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   примітках до даної  фінзвітності   і  у поясненнях окремих  її  компонентів викладена  інформація про основні сфери, які потребують оцінки невизначеності, та про найбільш важливі судження, сформовані в процесі використання положень облікової політики та здійснюючих значний вплив на суми, відображені у фінансовій звітності.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 цих примітках нижче подані  основні  припущення,  що стосуються майбутнього та  інших основних джерел невизначеності  оцінок на звітну дату, які  несуть у собі  значний ризик виникнення необхідності  внесення суттєвих коригувань   до   балансової   вартості   активів   та   зобов’язань   протягом   поточного   фінансового   року.   Оцінки   та припущення  Товариства  ґрунтувалися   на   параметрах,   доступних   у   процесі   складання  фінансової   звітності.  Однак поточні обставини та припущення щодо перспектив можуть змінитися під впливом ринкових змін або обставин, які не піддаються контролю Товариства. Такі зміни відображаються у припущеннях по мірі їхнього виникнення.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Оцінки   та   припущення   стосовно   строків   корисного   використання   активів,   зменшення   чи   збільшення   їх корисності.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Інші оцінки особливостей підготовки фінзвітності: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Дана фінансова звітність складена на основі бухгалтерських записів згідно з українським законодавством шляхом трансформації   з   внесенням   потрібних   коригувань   та   проведенням   перекласифікації   статей,   з   метою  складання фінансової звітності за МСФЗ.</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Попередні   оцінки   відповідно   до  МСФЗ   на   дату   переходу   на  МСФЗ   повинні   узгоджуватися   з   попередніми оцінками, зробленими на цю саму дату за П(С)БО (після коригувань для відображення будь-якої різниці в облікових політиках), якщо немає об’єктивного свідчення, що ці попередні оцінки помилкові.</w:t>
      </w:r>
    </w:p>
    <w:p w:rsidR="001472D7" w:rsidRDefault="001472D7">
      <w:pPr>
        <w:rPr>
          <w:rFonts w:ascii="Times New Roman" w:eastAsia="Times New Roman" w:hAnsi="Times New Roman" w:cs="Times New Roman"/>
          <w:b/>
          <w:sz w:val="32"/>
        </w:rPr>
      </w:pPr>
    </w:p>
    <w:p w:rsidR="001472D7" w:rsidRDefault="00305F50">
      <w:pPr>
        <w:rPr>
          <w:rFonts w:ascii="Times New Roman" w:eastAsia="Times New Roman" w:hAnsi="Times New Roman" w:cs="Times New Roman"/>
          <w:b/>
          <w:sz w:val="32"/>
        </w:rPr>
      </w:pPr>
      <w:r>
        <w:rPr>
          <w:rFonts w:ascii="Times New Roman" w:eastAsia="Times New Roman" w:hAnsi="Times New Roman" w:cs="Times New Roman"/>
          <w:b/>
          <w:sz w:val="32"/>
        </w:rPr>
        <w:lastRenderedPageBreak/>
        <w:t>3</w:t>
      </w:r>
      <w:r w:rsidR="00E60293">
        <w:rPr>
          <w:rFonts w:ascii="Times New Roman" w:eastAsia="Times New Roman" w:hAnsi="Times New Roman" w:cs="Times New Roman"/>
          <w:b/>
          <w:sz w:val="32"/>
        </w:rPr>
        <w:t xml:space="preserve">. Прийняття нових та переглянуті стандарти. </w:t>
      </w:r>
    </w:p>
    <w:p w:rsidR="00B15F09" w:rsidRPr="00B15F09" w:rsidRDefault="00B15F09" w:rsidP="00B15F09">
      <w:pPr>
        <w:spacing w:after="0" w:line="240" w:lineRule="auto"/>
        <w:rPr>
          <w:rFonts w:ascii="Times New Roman" w:eastAsia="Times New Roman" w:hAnsi="Times New Roman" w:cs="Times New Roman"/>
          <w:b/>
          <w:i/>
          <w:sz w:val="24"/>
          <w:szCs w:val="24"/>
          <w:lang w:val="uk-UA" w:eastAsia="uk-UA"/>
        </w:rPr>
      </w:pPr>
      <w:r w:rsidRPr="00B15F09">
        <w:rPr>
          <w:rFonts w:ascii="Times New Roman" w:eastAsia="Times New Roman" w:hAnsi="Times New Roman" w:cs="Arial"/>
          <w:b/>
          <w:i/>
          <w:sz w:val="24"/>
          <w:szCs w:val="24"/>
          <w:lang w:val="uk-UA" w:eastAsia="uk-UA"/>
        </w:rPr>
        <w:t xml:space="preserve">МСБО 8 Облікові політики, зміни в облікових оцінках та помилки </w:t>
      </w:r>
    </w:p>
    <w:p w:rsidR="00B15F09" w:rsidRPr="00B15F09" w:rsidRDefault="00B15F09" w:rsidP="00B15F09">
      <w:pPr>
        <w:spacing w:after="0" w:line="240" w:lineRule="auto"/>
        <w:rPr>
          <w:rFonts w:ascii="Times New Roman" w:eastAsia="Times New Roman" w:hAnsi="Times New Roman" w:cs="Times New Roman"/>
          <w:b/>
          <w:i/>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В  МСБО 8 визначення поняття “суттєвий” замінено посиланням на аналогічний термін, визначений у пункті 7 МСБО 1 та використовується в МСБО 8 відтепер з таким самим значенням. Суттєвий – пропущення або викривлення статей є суттєвими, якщо вони можуть (окремо чи у сукупності) впливати на економічні рішення, які приймають користувачі на основі фінансової звітності. Суттєвість залежить від розміру та характеру пропуску чи викривлення, що оцінюються за конкретних обставин. Розмір або характер статті, або їх поєднання, може бути визначальним чинником.</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В стандарті вилучено п. 6, який посилався на Концептуальну основу щодо суттєвості і припускав, що користувачі мають відповідні знання з бізнесу, економічної діяльності та бухгалтерського обліку і прагнуть вивчати інформацію з достатньою ретельністю. Облікова політика має бути нейтральною – це існуюча норма МСБО 8, а в оновленій редакції уточнено, що нейтральність – це відсутність упереджень. В п.20 уточнено, що не “перше”, а саме “дострокове” застосування МСФЗ не є добровільною зміною в обліковій політиці. Щодо оновлень – до МСБО 8 додано посилання на застосування нових положень, пов’язаних з МСФЗ 9, документом “Зміни у посиланнях на Концептуальну основу в Стандартах МСФЗ”, що виданий у 2018 р., МСФЗ 14 “Відстрочені рахунки тарифного регулювання” та документом “Визначення суттєвого” (зміни до МСБО 1 та МСБО 8), виданого у жовтні 2018 р.</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b/>
          <w:i/>
          <w:sz w:val="24"/>
          <w:szCs w:val="24"/>
          <w:lang w:val="uk-UA" w:eastAsia="uk-UA"/>
        </w:rPr>
      </w:pPr>
      <w:r w:rsidRPr="00B15F09">
        <w:rPr>
          <w:rFonts w:ascii="Times New Roman" w:eastAsia="Times New Roman" w:hAnsi="Times New Roman" w:cs="Arial"/>
          <w:b/>
          <w:i/>
          <w:sz w:val="24"/>
          <w:szCs w:val="24"/>
          <w:lang w:val="uk-UA" w:eastAsia="uk-UA"/>
        </w:rPr>
        <w:t>МСБО 23 Витрати на позики .</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Змінено п.14, в якому додано важливе уточнення “Однак, суб’єкт господарювання має виключити з цих розрахунків витрати за позиками здійсненими спеціально з метою отримання кваліфікаційного активу допоки, значною мірою, усі заходи, необхідні для підготовки цього активу до передбачуваного використання або реалізації, не будуть завершені.” Зокрема, ним тепер передбачається, що у тій мірі, у якій суб’єкт господарювання запозичує кошти загалом і використовує їх з метою отримання кваліфікаційного активу, цей суб’єкт господарювання має визначати суму витрат за позиками, що підлягають капіталізації, застосовуючи норму капіталізації до витрат на цей актив.</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Норма капіталізації повинна бути середньозваженою величиною витрат за позиками стосовно всіх позик суб’єкта господарювання, що непогашені протягом періоду. Однак суб’єкт господарювання має виключити з цих розрахунків витрати за позиками, здійсненими спеціально з метою отримання кваліфікаційного активу допоки значною мірою усі заходи, необхідні для підготовки цього активу до передбачуваного використання або реалізації, не будуть завершені.</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Сума витрат за позиками, капіталізована суб’єктом господарювання протягом періоду, не повинна перевищувати суму витрат за позиками, понесених протягом цього періоду.</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До цього моменту щорічними удосконаленнями МСФЗ циклу 2015-2017, виданими у грудні 2017 року, саме пункт 14 доповнено,  то ж компанія застосовує ці зміни до витрат за позиками, що понесені на початку або після початку річного звітного періоду, в якому вона вперше застосовує ці зміни (новий п. 28A), при цьому компанія застосовує ці поправки до річних звітних періодів, що починаються з 1 січня 2019 року або пізніше. Крім того, до стандарту додано вимогу застосування поправок, пов’язаних з МСФЗ 9 та МСФЗ 16. Решта правок – косметичні, замінено посилання на МСБО 39 на МСФЗ 9, МСБО 17 на МСФЗ 16,  активи кваліфікаційні, а не кваліфіковані, інвестиційний дохід, а не інвестиційний прибуток, сума повного або часткового списання може бути “відновлена”, а не “сторнується”.</w:t>
      </w:r>
    </w:p>
    <w:p w:rsidR="00B15F09" w:rsidRPr="00B15F09" w:rsidRDefault="00B15F09" w:rsidP="00B15F09">
      <w:pPr>
        <w:spacing w:after="0" w:line="240" w:lineRule="auto"/>
        <w:rPr>
          <w:rFonts w:ascii="Times New Roman" w:eastAsia="Times New Roman" w:hAnsi="Times New Roman" w:cs="Arial"/>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b/>
          <w:i/>
          <w:sz w:val="24"/>
          <w:szCs w:val="24"/>
          <w:lang w:val="uk-UA" w:eastAsia="uk-UA"/>
        </w:rPr>
      </w:pPr>
      <w:r w:rsidRPr="00B15F09">
        <w:rPr>
          <w:rFonts w:ascii="Times New Roman" w:eastAsia="Times New Roman" w:hAnsi="Times New Roman" w:cs="Arial"/>
          <w:b/>
          <w:i/>
          <w:sz w:val="24"/>
          <w:szCs w:val="24"/>
          <w:lang w:val="uk-UA" w:eastAsia="uk-UA"/>
        </w:rPr>
        <w:t>МСБО 40 Інвестиційна нерухомість.</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Arial"/>
          <w:sz w:val="24"/>
          <w:szCs w:val="24"/>
          <w:lang w:val="uk-UA" w:eastAsia="uk-UA"/>
        </w:rPr>
      </w:pPr>
      <w:r w:rsidRPr="00B15F09">
        <w:rPr>
          <w:rFonts w:ascii="Times New Roman" w:eastAsia="Times New Roman" w:hAnsi="Times New Roman" w:cs="Arial"/>
          <w:sz w:val="24"/>
          <w:szCs w:val="24"/>
          <w:lang w:val="uk-UA" w:eastAsia="uk-UA"/>
        </w:rPr>
        <w:t xml:space="preserve"> В попередній оприлюдненій версії МСБО 40 “Інвестиційна нерухомість” був пропущений п. 24 – “Якщо оплату за інвестиційну нерухомість відстрочено, її собівартістю є грошовий еквівалент ціни. Різниця між цією сумою та загальною сумою платежів визнається як витрати на відсотки за період надання кредиту”. І це є дуже суттєво, бо компанії мають орієнтуватися на оприлюднену версію і, якщо цей пункт був відсутній, то і його засування було за межами дозволеного. В новій версії суттєво розширений п.53, що стосується ситуацій неможливості достовірно оцінити справедливу вартість інвестиційної нерухомості. В частині оновлення додано п. 85Є – “МСФЗ 17, випущений у травні 2017 р., змінив пункт 32Б. Суб’єкт господарювання застосовує цю зміну, якщо він застосовує МСФЗ 17”.</w:t>
      </w:r>
    </w:p>
    <w:p w:rsidR="00B15F09" w:rsidRPr="00B15F09" w:rsidRDefault="00B15F09" w:rsidP="00B15F09">
      <w:pPr>
        <w:spacing w:after="0" w:line="240" w:lineRule="auto"/>
        <w:rPr>
          <w:rFonts w:ascii="Arial" w:eastAsia="Times New Roman" w:hAnsi="Arial" w:cs="Arial"/>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b/>
          <w:i/>
          <w:sz w:val="24"/>
          <w:szCs w:val="24"/>
          <w:lang w:val="uk-UA" w:eastAsia="uk-UA"/>
        </w:rPr>
      </w:pPr>
      <w:r w:rsidRPr="00B15F09">
        <w:rPr>
          <w:rFonts w:ascii="Times New Roman" w:eastAsia="Times New Roman" w:hAnsi="Times New Roman" w:cs="Arial"/>
          <w:b/>
          <w:i/>
          <w:sz w:val="24"/>
          <w:szCs w:val="24"/>
          <w:lang w:val="uk-UA" w:eastAsia="uk-UA"/>
        </w:rPr>
        <w:t>МСФЗ 17 Страхові контракти .</w:t>
      </w:r>
    </w:p>
    <w:p w:rsidR="00B15F09" w:rsidRPr="00B15F09" w:rsidRDefault="00B15F09" w:rsidP="00B15F09">
      <w:pPr>
        <w:spacing w:after="0" w:line="240" w:lineRule="auto"/>
        <w:rPr>
          <w:rFonts w:ascii="Times New Roman" w:eastAsia="Times New Roman" w:hAnsi="Times New Roman" w:cs="Times New Roman"/>
          <w:b/>
          <w:i/>
          <w:sz w:val="24"/>
          <w:szCs w:val="24"/>
          <w:lang w:val="uk-UA" w:eastAsia="uk-UA"/>
        </w:rPr>
      </w:pPr>
      <w:r w:rsidRPr="00B15F09">
        <w:rPr>
          <w:rFonts w:ascii="Times New Roman" w:eastAsia="Times New Roman" w:hAnsi="Times New Roman" w:cs="Times New Roman"/>
          <w:b/>
          <w:i/>
          <w:sz w:val="24"/>
          <w:szCs w:val="24"/>
          <w:lang w:val="uk-UA" w:eastAsia="uk-UA"/>
        </w:rPr>
        <w:br/>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В МСФЗ 17  виключено Додаток Г, який містив поправки до інших Стандартів, які були внесені під час доопрацювання МСФЗ 17. Пізніше зміни, що містилися в цьому додатку, були включені до тексту відповідних стандартів. Традиційно підправлений український переклад та виправлені граматичні помилки (параграф-пункт, контракт-договір, відсотки-проценти, аквізаційних-аквізиційних…). В цілому, всі правки носять технічний характер.</w:t>
      </w:r>
    </w:p>
    <w:p w:rsidR="00B15F09" w:rsidRPr="00B15F09" w:rsidRDefault="00B15F09" w:rsidP="00B15F09">
      <w:pPr>
        <w:spacing w:after="0" w:line="240" w:lineRule="auto"/>
        <w:rPr>
          <w:rFonts w:ascii="Times New Roman" w:eastAsia="Times New Roman" w:hAnsi="Times New Roman" w:cs="Arial"/>
          <w:b/>
          <w:i/>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b/>
          <w:i/>
          <w:sz w:val="24"/>
          <w:szCs w:val="24"/>
          <w:lang w:val="uk-UA" w:eastAsia="uk-UA"/>
        </w:rPr>
      </w:pPr>
      <w:r w:rsidRPr="00B15F09">
        <w:rPr>
          <w:rFonts w:ascii="Times New Roman" w:eastAsia="Times New Roman" w:hAnsi="Times New Roman" w:cs="Arial"/>
          <w:b/>
          <w:i/>
          <w:sz w:val="24"/>
          <w:szCs w:val="24"/>
          <w:lang w:val="uk-UA" w:eastAsia="uk-UA"/>
        </w:rPr>
        <w:t>МСБО 19 Виплати працівникам.</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В МСБО 19 Виплати працівникам замінено терміни “стеля” активу на “верхня межа” активу без зміни суті поняття,  “короткострокові компенсовані періоди відсутності” на “короткострокова оплачувана відсутність на роботі”. </w:t>
      </w:r>
      <w:r w:rsidRPr="00B15F09">
        <w:rPr>
          <w:rFonts w:ascii="Times New Roman" w:eastAsia="Times New Roman" w:hAnsi="Times New Roman" w:cs="Arial"/>
          <w:sz w:val="24"/>
          <w:szCs w:val="24"/>
          <w:lang w:eastAsia="uk-UA"/>
        </w:rPr>
        <w:t>В</w:t>
      </w:r>
      <w:r w:rsidRPr="00B15F09">
        <w:rPr>
          <w:rFonts w:ascii="Times New Roman" w:eastAsia="Times New Roman" w:hAnsi="Times New Roman" w:cs="Arial"/>
          <w:sz w:val="24"/>
          <w:szCs w:val="24"/>
          <w:lang w:val="uk-UA" w:eastAsia="uk-UA"/>
        </w:rPr>
        <w:t xml:space="preserve"> стандарті замінено поняття “розподіленого прибутку” на “річний прибуток”. </w:t>
      </w:r>
      <w:r w:rsidRPr="00B15F09">
        <w:rPr>
          <w:rFonts w:ascii="Times New Roman" w:eastAsia="Times New Roman" w:hAnsi="Times New Roman" w:cs="Arial"/>
          <w:sz w:val="24"/>
          <w:szCs w:val="24"/>
          <w:lang w:eastAsia="uk-UA"/>
        </w:rPr>
        <w:t>В стандарті</w:t>
      </w:r>
      <w:r w:rsidRPr="00B15F09">
        <w:rPr>
          <w:rFonts w:ascii="Times New Roman" w:eastAsia="Times New Roman" w:hAnsi="Times New Roman" w:cs="Arial"/>
          <w:sz w:val="24"/>
          <w:szCs w:val="24"/>
          <w:lang w:val="uk-UA" w:eastAsia="uk-UA"/>
        </w:rPr>
        <w:t xml:space="preserve"> йдеться не про “розподіл” прибутку, а про “участь” у прибутку. Ще одне  уточнення стосується фінансової звітності, точніше не просто фінансової звітності, а “окремої чи індивідуальної фінансової звітності суб’єкта господарювання групи”.</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Times New Roman"/>
          <w:sz w:val="24"/>
          <w:szCs w:val="24"/>
          <w:lang w:val="uk-UA" w:eastAsia="uk-UA"/>
        </w:rPr>
        <w:br/>
      </w:r>
      <w:r w:rsidRPr="00B15F09">
        <w:rPr>
          <w:rFonts w:ascii="Times New Roman" w:eastAsia="Times New Roman" w:hAnsi="Times New Roman" w:cs="Arial"/>
          <w:sz w:val="24"/>
          <w:szCs w:val="24"/>
          <w:lang w:val="uk-UA" w:eastAsia="uk-UA"/>
        </w:rPr>
        <w:t>П. 99 МСБО 19 приведений у відповідність до оригіналу, тобто при розрахунках вартості раніше наданих послуг або прибутку чи збитку від розрахунку, слід переоцінювати чисте зобов’язання (актив) за визначеною виплатою, користуючись не лише історичними, але й прогнозними даними щодо поточної справедливої вартості активів програми та поточних актуарних припущень:</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При визначенні вартості раніше наданих послуг або прибутку чи збитку від розрахунку, суб’єкт господарювання переоцінює чисте зобов’язання (актив) за визначеною виплатою, користуючись поточною справедливою вартістю активів програми та поточними актуарними припущеннями (включаючи поточні ринкові ставки відсотка та інші поточні ринкові ціни), що відображають:</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а) виплати, які пропонуються за програмою, та активи програми до зміни програми, скорочення або розрахунку; та</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б) виплати, які пропонуються за програмою, та активи програми після зміни програми, скорочення або розрахунку.</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МСБО 19 доповнено п. 101А, згідно якого якщо відбувається зміна програми, скорочення або розрахунок, суб’єктові господарювання слід визнавати та оцінювати будь-яку вартість раніше наданих послуг або прибуток чи збиток від розрахунку відповідно до пунктів 99–</w:t>
      </w:r>
      <w:r w:rsidRPr="00B15F09">
        <w:rPr>
          <w:rFonts w:ascii="Times New Roman" w:eastAsia="Times New Roman" w:hAnsi="Times New Roman" w:cs="Arial"/>
          <w:sz w:val="24"/>
          <w:szCs w:val="24"/>
          <w:lang w:val="uk-UA" w:eastAsia="uk-UA"/>
        </w:rPr>
        <w:lastRenderedPageBreak/>
        <w:t>101 та пунктів 102–112 МСБО 19. Діючи таким чином, суб’єктові господарювання не слід враховувати вплив «верхньої межі» активу. У такому разі суб’єктові господарювання слід визначити вплив «верхньої межі» активу після зміни програми, скорочення або розрахунку та визнати будь-яку зміну такого впливу відповідно до пункту 57г). Тобто, визначення переоцінок чистого зобов’язання (активу) за визначеною виплатою мають бути визнані в іншому сукупному доході, у тому числі будь-яка зміна впливу “верхньої межі” активу, за винятком сум, включених до чистого відсотка за чистим зобов’язанням (активом) за визначеною виплатою.</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МСБО 19 доповнений новим п. 122А, що стосується вартості поточних послуг.  Так, суб’єкт господарювання визначає вартість поточних послуг, використовуючи актуарні припущення, визначені на початок річного звітного періоду. Проте, якщо суб’єкт господарювання переоцінює чисте зобов’язання (актив) за визначеною виплатою відповідно до пункту 99, він визначає вартість поточних послуг для решти річного звітного періоду після зміни програми, скорочення або розрахунку з використанням актуарних припущень, використаних для переоцінки чистого зобов’язання (активу) за визначеною виплатою відповідно до пункту 99 б).</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 Уточнено п. 123 МСБО 19:</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123 Суб’єкт господарювання визначає чистий відсоток за чистим зобов’язання (активом) за визначеною виплатою шляхом множенням чистого зобов’язання (активу) за визначеною виплатою на ставку дисконту, вказану в пункті 83.</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123А Для визначення чистого відсотка відповідно до пункту 123 суб’єкт господарювання використовує чисте зобов’язання (актив) за визначеною виплатою та ставку дисконту, визначені на початок річного звітного періоду. Проте, якщо суб’єкт господарювання переоцінює чисте зобов’язання (актив) за визначеною виплатою відповідно до пункту 99, він визначає чистий відсоток для решти річного звітного періоду після зміни програми, скорочення або розрахунку з використанням:</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а) чистого зобов’язання (активу) за визначеною виплатою відповідно до пункту 99 б); </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б) ставки дисконту, використаної для переоцінки чистого зобов’язання (активу) за визначеною виплатою відповідно до пункту 99 б).</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Змінено п.125 (стосовно процентного доходу від активів програми) і 126 (стосовно процентів від впливу “верхньої межі” активу) і ці зміни як раз є наслідком від поправок в п.101А і 99, про які йшлося вище.</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МСБО 19 доповнено ще одним перехідним положенням – п. 179, в якому йдеться про зміни до МСБО 19, видані у лютому 2018 р., згідно яких було додано пункти 101А, 122А та 123А та змінено пункти 57, 99, 120, 123, 125, 126 та 156, на які варто звернути увагу. Всі ці зміни і доповнення застосовуються до змін програм, скорочень або розрахунків, які відбуваються на</w:t>
      </w:r>
      <w:r w:rsidRPr="00B15F09">
        <w:rPr>
          <w:rFonts w:ascii="Times New Roman" w:eastAsia="Times New Roman" w:hAnsi="Times New Roman" w:cs="Times New Roman"/>
          <w:sz w:val="24"/>
          <w:szCs w:val="24"/>
          <w:lang w:val="uk-UA" w:eastAsia="uk-UA"/>
        </w:rPr>
        <w:t xml:space="preserve"> </w:t>
      </w:r>
      <w:r w:rsidRPr="00B15F09">
        <w:rPr>
          <w:rFonts w:ascii="Times New Roman" w:eastAsia="Times New Roman" w:hAnsi="Times New Roman" w:cs="Arial"/>
          <w:sz w:val="24"/>
          <w:szCs w:val="24"/>
          <w:lang w:val="uk-UA" w:eastAsia="uk-UA"/>
        </w:rPr>
        <w:t>початок або після початку першого річного звітного періоду, що починається з або після 1 січня 2019 р. Більш раннє застосування дозволяється. Якщо суб’єкт господарювання застосовує ці зміни раніше, то він розкриває цей факт. Звісно, що в Україні зміни застосовуються з дня оприлюднення на сайті Міністерства фінансів, проте і дострокове застосування не забороняється, коли вже оприлюднено.</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b/>
          <w:i/>
          <w:sz w:val="24"/>
          <w:szCs w:val="24"/>
          <w:lang w:val="uk-UA" w:eastAsia="uk-UA"/>
        </w:rPr>
      </w:pPr>
      <w:r w:rsidRPr="00B15F09">
        <w:rPr>
          <w:rFonts w:ascii="Times New Roman" w:eastAsia="Times New Roman" w:hAnsi="Times New Roman" w:cs="Arial"/>
          <w:b/>
          <w:i/>
          <w:sz w:val="24"/>
          <w:szCs w:val="24"/>
          <w:lang w:val="uk-UA" w:eastAsia="uk-UA"/>
        </w:rPr>
        <w:t>КТМФЗ 16 Хеджування чистих інвестицій в закордонну господарську одиницю.</w:t>
      </w:r>
    </w:p>
    <w:p w:rsidR="00B15F09" w:rsidRDefault="00B15F09" w:rsidP="00B15F09">
      <w:pPr>
        <w:spacing w:after="0" w:line="240" w:lineRule="auto"/>
        <w:rPr>
          <w:rFonts w:ascii="Times New Roman" w:eastAsia="Times New Roman" w:hAnsi="Times New Roman" w:cs="Arial"/>
          <w:sz w:val="24"/>
          <w:szCs w:val="24"/>
          <w:lang w:val="uk-UA" w:eastAsia="uk-UA"/>
        </w:rPr>
      </w:pPr>
      <w:r w:rsidRPr="00B15F09">
        <w:rPr>
          <w:rFonts w:ascii="Times New Roman" w:eastAsia="Times New Roman" w:hAnsi="Times New Roman" w:cs="Arial"/>
          <w:sz w:val="24"/>
          <w:szCs w:val="24"/>
          <w:lang w:val="uk-UA" w:eastAsia="uk-UA"/>
        </w:rPr>
        <w:br/>
        <w:t xml:space="preserve"> Замінено посилання з МСБО 39 на МСФЗ 9 , відповідно в частині дат набрання чинності доповнено посиланням на МСФЗ 9. По ходу правок уточнено , що  є інший сукупний “дохід”, а не “прибуток”. Решта правок – косметичні.</w:t>
      </w:r>
    </w:p>
    <w:p w:rsidR="00B15F09" w:rsidRPr="00B15F09" w:rsidRDefault="00B15F09" w:rsidP="00B15F09">
      <w:pPr>
        <w:spacing w:before="100" w:beforeAutospacing="1" w:after="100" w:afterAutospacing="1" w:line="240" w:lineRule="auto"/>
        <w:rPr>
          <w:rFonts w:ascii="Times New Roman" w:eastAsia="Times New Roman" w:hAnsi="Times New Roman" w:cs="Times New Roman"/>
          <w:color w:val="0D0D0D" w:themeColor="text1" w:themeTint="F2"/>
          <w:sz w:val="24"/>
          <w:szCs w:val="24"/>
          <w:lang w:val="uk-UA" w:eastAsia="uk-UA"/>
        </w:rPr>
      </w:pPr>
      <w:r w:rsidRPr="00B15F09">
        <w:rPr>
          <w:rFonts w:ascii="Times New Roman" w:eastAsia="Times New Roman" w:hAnsi="Times New Roman" w:cs="Times New Roman"/>
          <w:b/>
          <w:bCs/>
          <w:color w:val="0D0D0D" w:themeColor="text1" w:themeTint="F2"/>
          <w:sz w:val="24"/>
          <w:szCs w:val="24"/>
          <w:lang w:val="uk-UA" w:eastAsia="uk-UA"/>
        </w:rPr>
        <w:lastRenderedPageBreak/>
        <w:t>Поправки до  МСБО 1 та МСФЗ 16.</w:t>
      </w:r>
    </w:p>
    <w:p w:rsidR="00B15F09" w:rsidRPr="00B15F09" w:rsidRDefault="00B15F09" w:rsidP="00B15F09">
      <w:pPr>
        <w:spacing w:before="100" w:beforeAutospacing="1" w:after="100" w:afterAutospacing="1" w:line="240" w:lineRule="auto"/>
        <w:rPr>
          <w:rFonts w:ascii="Times New Roman" w:eastAsia="Times New Roman" w:hAnsi="Times New Roman" w:cs="Times New Roman"/>
          <w:color w:val="0D0D0D" w:themeColor="text1" w:themeTint="F2"/>
          <w:sz w:val="24"/>
          <w:szCs w:val="24"/>
          <w:lang w:val="uk-UA" w:eastAsia="uk-UA"/>
        </w:rPr>
      </w:pPr>
      <w:r w:rsidRPr="00B15F09">
        <w:rPr>
          <w:rFonts w:ascii="Times New Roman" w:eastAsia="Times New Roman" w:hAnsi="Times New Roman" w:cs="Arial"/>
          <w:sz w:val="24"/>
          <w:szCs w:val="24"/>
          <w:lang w:val="uk-UA" w:eastAsia="uk-UA"/>
        </w:rPr>
        <w:t>Поправки до МСБО 1 пояснюють, що зобов’язання слід відносити до категорії короткострокових або довгострокових залежно від прав, наявних у підприємства на кінець звітного періоду. На таку класифікацію не впливають очікування підприємства або події після звітної дати (наприклад, порушення обмежувальних умов (ковенантів) або отримання відмови від вимоги дострокового погашення). У поправці також пояснено, що саме МСБО 1 має на увазі під «врегулюванням» зобов’язання. Для класифікації зобов’язань установлено такі вимоги:</w:t>
      </w:r>
    </w:p>
    <w:p w:rsidR="00B15F09" w:rsidRPr="00B15F09" w:rsidRDefault="00B15F09" w:rsidP="00B15F09">
      <w:pPr>
        <w:spacing w:after="0" w:line="240" w:lineRule="auto"/>
        <w:rPr>
          <w:rFonts w:ascii="Times New Roman" w:eastAsia="Times New Roman" w:hAnsi="Times New Roman" w:cs="Arial"/>
          <w:sz w:val="24"/>
          <w:szCs w:val="24"/>
          <w:lang w:val="uk-UA" w:eastAsia="uk-UA"/>
        </w:rPr>
      </w:pPr>
      <w:r w:rsidRPr="00B15F09">
        <w:rPr>
          <w:rFonts w:ascii="Times New Roman" w:eastAsia="Times New Roman" w:hAnsi="Times New Roman" w:cs="Arial"/>
          <w:sz w:val="24"/>
          <w:szCs w:val="24"/>
          <w:lang w:val="uk-UA" w:eastAsia="uk-UA"/>
        </w:rPr>
        <w:t>- зобов’язання належать до категорії довгострокових, якщо на кінець звітного періоду в суб’єкта господарювання є істотне право на відстрочення їх врегулювання як мінімум на дванадцять місяців. У новій версії стандарту більше не згадується «безумовне право», визначаючи класифікацію, розглядають наявність права, але не розглядають питання про те, чи реалізує суб’єкт господарювання це право. Таким чином, очікування керівництва не впливають на класифікацію;право відстрочити погашення зобов’язання існує тільки в тому випадку, якщо організація дотримується визначених договором умов на звітну дату.</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зобов’язання класифікується як короткострокове, якщо на звітну дату або до неї було порушено якусь умову, навіть якщо після закінчення звітного періоду від кредитора отримано звільнення від обов’язку виконувати цю умову. З другого боку, кредит класифікується як довгостроковий, якщо особливу умову за таким кредитом порушено тільки після звітної дати;«врегулювання» визначається як погашення зобов’язання грошовими коштами, іншими ресурсами, що являють собою економічні вигоди, або власними пайовими інструментами організації. Стандартом передбачено виняток для конвертованих інструментів, які можуть конвертуватися у власний капітал, але тільки щодо тих інструментів, за якими опціон на конвертацію класифікують як інструмент власного капіталу, який є окремим компонентом складного фінансового інструменту.</w:t>
      </w:r>
    </w:p>
    <w:p w:rsidR="00B15F09" w:rsidRPr="00B15F09" w:rsidRDefault="00B15F09" w:rsidP="00B15F09">
      <w:pPr>
        <w:spacing w:after="0" w:line="240" w:lineRule="auto"/>
        <w:rPr>
          <w:rFonts w:ascii="Times New Roman" w:eastAsia="Times New Roman" w:hAnsi="Times New Roman" w:cs="Arial"/>
          <w:sz w:val="24"/>
          <w:szCs w:val="24"/>
          <w:lang w:val="uk-UA" w:eastAsia="uk-UA"/>
        </w:rPr>
      </w:pPr>
      <w:r w:rsidRPr="00B15F09">
        <w:rPr>
          <w:rFonts w:ascii="Times New Roman" w:eastAsia="Times New Roman" w:hAnsi="Times New Roman" w:cs="Arial"/>
          <w:sz w:val="24"/>
          <w:szCs w:val="24"/>
          <w:lang w:val="uk-UA" w:eastAsia="uk-UA"/>
        </w:rPr>
        <w:t xml:space="preserve"> У стандарті чітко визначено, що виконання умов та вимог кредитного договору слід аналізувати станом на звітну дату, навіть якщо кредитори перевірятимуть їх виконання пізніше.</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Нову версію МСБО 1 слід застосовувати до річних періодів, що починаються 1 січня 2022 року або після цієї дати, ретроспективно відповідно до МСБО 8 «Облікові політики, зміни в облікових оцінках та помилки». Дострокове застосування дозволено. </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Arial" w:eastAsia="Times New Roman" w:hAnsi="Arial" w:cs="Arial"/>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Arial" w:eastAsia="Times New Roman" w:hAnsi="Arial" w:cs="Arial"/>
          <w:sz w:val="24"/>
          <w:szCs w:val="24"/>
          <w:lang w:val="uk-UA" w:eastAsia="uk-UA"/>
        </w:rPr>
        <w:t xml:space="preserve"> </w:t>
      </w:r>
      <w:r w:rsidRPr="00B15F09">
        <w:rPr>
          <w:rFonts w:ascii="Times New Roman" w:eastAsia="Times New Roman" w:hAnsi="Times New Roman" w:cs="Arial"/>
          <w:sz w:val="24"/>
          <w:szCs w:val="24"/>
          <w:lang w:val="uk-UA" w:eastAsia="uk-UA"/>
        </w:rPr>
        <w:t>Поправки до МСФЗ 16, спрямовані на спрощення обліку орендарем орендних концесій (поступок), наданих у зв’язку з COVID-19.</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 Зміни до МСФЗ 16 стосуються обліку поступок з оренди, пов’язаних з пандемією COVID-19. Поправки, які передбачають спрощений облік орендних поступок у період карантину, стосуються тільки  орендарів.</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Прийняті зміни до МСФЗ 16 дозволяють орендарям застосувати практичний прийом і не оцінювати, є чи ні орендні поступки, пов’язані з COVID-19, модифікацією договору оренди. Інакше кажучи, орендарі можуть не обліковувати поступки з оренди як модифікацію.</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Це спрощення (практичний прийом) дозволяється застосовувати тільки щодо орендних поступок, які виникли як прямий наслідок COVID-19. І скористатися ним можна, якщо одночасно виконуються 3 такі умови:</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Умова 1. Зміни в орендних платежах призводять до перегляду суми компенсації за оренду, яка є такою ж або меншою, ніж сума компенсації до змін. </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Умова 2. Будь-яке зменшення орендних платежів впливає тільки на платежі, первісно призначені до сплати до 30 червня 2021 року або раніше. Наслідки пандемії можуть здійснювати свій вплив протягом ще деякого періоду часу. При цьому застосування </w:t>
      </w:r>
      <w:r w:rsidRPr="00B15F09">
        <w:rPr>
          <w:rFonts w:ascii="Times New Roman" w:eastAsia="Times New Roman" w:hAnsi="Times New Roman" w:cs="Arial"/>
          <w:sz w:val="24"/>
          <w:szCs w:val="24"/>
          <w:lang w:val="uk-UA" w:eastAsia="uk-UA"/>
        </w:rPr>
        <w:lastRenderedPageBreak/>
        <w:t>спрощень щодо обліку орендних платежів обмежується конкретними часовими межами — платежами, що первісно підлягають сплаті до 30 червня 2021 року.</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Умова 3. Немає будь-яких істотних змін в інших умовах оренди. Так, якщо в результаті пандемії COVID-19 змінився строк оренди (орендар планує припинити оренду раніше, ніж первісно планувалося), спрощення щодо обліку поступок застосовувати не можна. У цьому випадку доведеться аналізувати, чи виконуються умови для визнання модифікації договору оренди.</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Times New Roman"/>
          <w:sz w:val="24"/>
          <w:szCs w:val="24"/>
          <w:lang w:val="uk-UA" w:eastAsia="uk-UA"/>
        </w:rPr>
        <w:t xml:space="preserve">Зазначено, </w:t>
      </w:r>
      <w:r w:rsidRPr="00B15F09">
        <w:rPr>
          <w:rFonts w:ascii="Times New Roman" w:eastAsia="Times New Roman" w:hAnsi="Times New Roman" w:cs="Arial"/>
          <w:sz w:val="24"/>
          <w:szCs w:val="24"/>
          <w:lang w:val="uk-UA" w:eastAsia="uk-UA"/>
        </w:rPr>
        <w:t xml:space="preserve"> що, наприклад, тримісячна відпустка з оренди до 30 червня 2021 року, за якою послідують три додаткових місяці, по суті, еквівалентних платежів у кінці строку оренди, не буде істотною зміною інших умов оренди.</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Спрощення передбачають можливість орендареві не враховувати зміни в компенсаціях за договором оренди як модифікацію договору оренди. А отже:</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Орендареві дозволяється (а не вимагається) застосовувати практичний прийом щодо коронавірусних поступок з оренди. Але якщо орендар прийняв рішення скористатися практичним прийомом, він повинен застосовувати його послідовно до всіх договорів оренди з аналогічними характеристиками і в аналогічних обставинах.</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у разі прощення або відмови від орендних платежів — орендар фактично припиняє визнавати частину орендного зобов’язання, яка йому була прощена або скасована. Нарахована сума орендного платежу списуватиметься на доходи звітного періоду;</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 при відстроченні орендного платежу (зміна орендних платежів, яка зменшує платежі в одному періоді, але пропорційно збільшує платежі в іншому) — орендне зобов’язання не скасовується. І не змінюється розмір винагороди — змінюються тільки строки окремих платежів. У цьому випадку орендар продовжуватиме зменшувати орендне зобов’язання на платежі, здійснені орендодавцем, застосовуючи § 36 МСФЗ 16. </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А ось балансову вартість активу з права користування на зазначену зміну орендного зобов’язання орендар не коригує.</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Розкриття в примітках до фінзвітності. Орендарі, які застосовують практичний прийом (звільнення від обліку модифікації для орендних поступок), повинні в примітках до фінзвітності:</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розкрити сам факт застосування спрощення. Якщо воно застосовується не до всіх договорів з аналогічними характеристиками, то навести інформацію про характер контрактів, до яких застосовували спрощення;</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суми змін в орендних платежах, визнані у складі прибутку або збитку;</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якщо орендний платіж прощений або зменшений, — розкрити цей ефект, застосовуючи п. 44а МСБО 7 «Звіт про рух грошових коштів».</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Зміни набрали чинності з 01.06.2020 р. При цьому дозволяється дострокове застосування, у тому числі й для звітності, не затвердженої до випуску станом на 28.05.2020 р. Тобто поправку (застосування практичного прийому) можна застосовувати до звітних періодів починаючи з 01.01.2020 р.</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 xml:space="preserve">Звільнення від сплати орендної плати за землі держкомвласності — грант. </w:t>
      </w:r>
      <w:r w:rsidRPr="00B15F09">
        <w:rPr>
          <w:rFonts w:ascii="Times New Roman" w:eastAsia="Times New Roman" w:hAnsi="Times New Roman" w:cs="Arial"/>
          <w:sz w:val="24"/>
          <w:szCs w:val="24"/>
          <w:lang w:val="uk-UA" w:eastAsia="uk-UA"/>
        </w:rPr>
        <w:br/>
        <w:t>Законом України від 30.03.2020 р. № 540-IX підприємства звільнені від сплати орендної плати за землі державної та комунальної власності за березень 2020 року.</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Пільгу (тимчасове звільнення від сплати) з орендної плати цілком можна розглядати як державний грант (§ 3 МСБО 20).</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r w:rsidRPr="00B15F09">
        <w:rPr>
          <w:rFonts w:ascii="Times New Roman" w:eastAsia="Times New Roman" w:hAnsi="Times New Roman" w:cs="Arial"/>
          <w:sz w:val="24"/>
          <w:szCs w:val="24"/>
          <w:lang w:val="uk-UA" w:eastAsia="uk-UA"/>
        </w:rPr>
        <w:t>Визнають такий грант в прибутку або збитку в тому періоді, у якому орендар відповідає критеріям для його отримання (§ 21 МСБО 20).</w:t>
      </w:r>
      <w:r w:rsidRPr="00B15F09">
        <w:rPr>
          <w:rFonts w:ascii="Times New Roman" w:eastAsia="Times New Roman" w:hAnsi="Times New Roman" w:cs="Arial"/>
          <w:sz w:val="24"/>
          <w:szCs w:val="24"/>
          <w:lang w:val="uk-UA" w:eastAsia="uk-UA"/>
        </w:rPr>
        <w:br/>
        <w:t>При цьому ні орендне зобов’язання, ні балансову вартість активу з права користування орендар не коригує.</w:t>
      </w:r>
    </w:p>
    <w:p w:rsidR="00B15F09" w:rsidRPr="00B15F09" w:rsidRDefault="00B15F09" w:rsidP="00B15F09">
      <w:pPr>
        <w:spacing w:after="0" w:line="240" w:lineRule="auto"/>
        <w:rPr>
          <w:rFonts w:ascii="Times New Roman" w:eastAsia="Times New Roman" w:hAnsi="Times New Roman" w:cs="Times New Roman"/>
          <w:sz w:val="24"/>
          <w:szCs w:val="24"/>
          <w:lang w:val="uk-UA" w:eastAsia="uk-UA"/>
        </w:rPr>
      </w:pPr>
    </w:p>
    <w:p w:rsidR="00B15F09" w:rsidRPr="00B15F09" w:rsidRDefault="00B15F09" w:rsidP="00B15F09">
      <w:pPr>
        <w:spacing w:after="0" w:line="240" w:lineRule="auto"/>
        <w:rPr>
          <w:rFonts w:ascii="Times New Roman" w:eastAsia="Times New Roman" w:hAnsi="Times New Roman" w:cs="Arial"/>
          <w:sz w:val="24"/>
          <w:szCs w:val="24"/>
          <w:lang w:val="uk-UA" w:eastAsia="uk-UA"/>
        </w:rPr>
      </w:pPr>
    </w:p>
    <w:p w:rsidR="001472D7" w:rsidRPr="00B15F09" w:rsidRDefault="001472D7">
      <w:pPr>
        <w:spacing w:line="240" w:lineRule="auto"/>
        <w:rPr>
          <w:rFonts w:ascii="Times New Roman" w:eastAsia="Times New Roman" w:hAnsi="Times New Roman" w:cs="Times New Roman"/>
          <w:sz w:val="24"/>
          <w:szCs w:val="24"/>
        </w:rPr>
      </w:pPr>
    </w:p>
    <w:p w:rsidR="001472D7" w:rsidRDefault="001472D7">
      <w:pPr>
        <w:rPr>
          <w:rFonts w:ascii="Times New Roman" w:eastAsia="Times New Roman" w:hAnsi="Times New Roman" w:cs="Times New Roman"/>
        </w:rPr>
      </w:pP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4</w:t>
      </w:r>
      <w:r w:rsidR="00E60293">
        <w:rPr>
          <w:rFonts w:ascii="Times New Roman" w:eastAsia="Times New Roman" w:hAnsi="Times New Roman" w:cs="Times New Roman"/>
          <w:b/>
          <w:sz w:val="32"/>
        </w:rPr>
        <w:t>. Джерела невизначеності оцінки.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Деякі суми, включені до фінансової звітності, а також пов’язані з ними розкриття інформації вимагають від управлінського персоналу Товариства здійснення припущень відносно сум або умов, які не можуть бути точно відомі на дату підготовки звітності.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Управлінський персонал Товариства проводить оцінки на постійній основі, виходячи з результатів і досвіду минулих періодів, консультацій фахівців, тенденцій та інших методів, які керівництво вважає прийнятними за певних обставин, а також виходячи з прогнозів щодо того, як вони можуть змінитися в майбутньому. Однак невизначеність цих припущень і оціночних значень може призвести до результатів, які можуть вимагати суттєвих коригувань вартості активу або зобов’язання, стосовно яких здійснюються такі припущення та оцінки, в майбутньому.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Основні невизначеності:</w:t>
      </w:r>
    </w:p>
    <w:p w:rsidR="001472D7" w:rsidRDefault="00E60293">
      <w:pPr>
        <w:numPr>
          <w:ilvl w:val="0"/>
          <w:numId w:val="30"/>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амортизація основних засобів та нематеріальних активів ґрунтується на здійснених управлінським персоналом оцінках майбутніх строків корисного використання цих активів. Оцінки можуть змінюватися під впливом технологічного розвитку, конкуренції, зміни ринкових умов та інших чинників, котрі важко передбачити.  Подібні зміни можуть призвести до змін очікуваних строків корисного використання та амортизаційних відрахувань.</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5</w:t>
      </w:r>
      <w:r w:rsidR="00E60293">
        <w:rPr>
          <w:rFonts w:ascii="Times New Roman" w:eastAsia="Times New Roman" w:hAnsi="Times New Roman" w:cs="Times New Roman"/>
          <w:b/>
          <w:sz w:val="32"/>
        </w:rPr>
        <w:t>. Здатність продовжувати діяльність безперервно.</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Фінансова звітність Товариства складена на основі припущення про безперервність.</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Товариство вважає що за станом на 31 грудня 2020 року не існує подій, умов або ризиків, які окремо або сукупно, можуть поставити під сумнів здатність Товариства продовжувати свою діяльність на безперервній основі.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рік, що закінчився, Товариство визнало збиток   в сумі 5344 тис. грн.. Товариство планує в 2021 році  досягти позитивного фінансового результату.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Чисті активи Товариства за станом на 31 грудня 2020 року визнані в сумі </w:t>
      </w:r>
      <w:r w:rsidR="00B15F09">
        <w:rPr>
          <w:rFonts w:ascii="Times New Roman" w:eastAsia="Times New Roman" w:hAnsi="Times New Roman" w:cs="Times New Roman"/>
          <w:sz w:val="24"/>
          <w:lang w:val="uk-UA"/>
        </w:rPr>
        <w:t>30745</w:t>
      </w:r>
      <w:r>
        <w:rPr>
          <w:rFonts w:ascii="Times New Roman" w:eastAsia="Times New Roman" w:hAnsi="Times New Roman" w:cs="Times New Roman"/>
          <w:sz w:val="24"/>
        </w:rPr>
        <w:t xml:space="preserve">  тис. грн. і розраховані шляхом вирахування із суми поточних і непоточних активів Товариства суми поточних і непоточних зобов’язань Товариства.</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Для порівняння сума статутного капіталу за станом на 31 грудня 2020 року становить 50000 тис. грн. Таким чином вартість чистих активів є меншою розміру статутного капіталу. Товариство планує за рахунок отримання прибутку в майбутньому покращити цей показник. </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6</w:t>
      </w:r>
      <w:r w:rsidR="00E60293">
        <w:rPr>
          <w:rFonts w:ascii="Times New Roman" w:eastAsia="Times New Roman" w:hAnsi="Times New Roman" w:cs="Times New Roman"/>
          <w:b/>
          <w:sz w:val="32"/>
        </w:rPr>
        <w:t>. Основні засоби і нематеріальні активи.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Вартість основних засобів Товариства, згідно обраної моделі «собівартості», за станом на 31 грудня 2020 року визначена в сумі  41015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Собівартість придбання  –  74670 тис. грн., амортизація – 33655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Основні засоби Товариства згідно класів розподіляються в порівнянні:</w:t>
      </w:r>
    </w:p>
    <w:tbl>
      <w:tblPr>
        <w:tblW w:w="0" w:type="auto"/>
        <w:jc w:val="center"/>
        <w:tblCellMar>
          <w:left w:w="10" w:type="dxa"/>
          <w:right w:w="10" w:type="dxa"/>
        </w:tblCellMar>
        <w:tblLook w:val="04A0" w:firstRow="1" w:lastRow="0" w:firstColumn="1" w:lastColumn="0" w:noHBand="0" w:noVBand="1"/>
      </w:tblPr>
      <w:tblGrid>
        <w:gridCol w:w="3450"/>
        <w:gridCol w:w="2984"/>
        <w:gridCol w:w="2911"/>
      </w:tblGrid>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t>Основні засоби</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На 31.12.2020 року</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На 31.12.2019 року</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t>Земля та будівлі</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28684</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28359</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t>Машини та обладнання</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10031</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10423</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t>Транспортні засоби</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512</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593</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lastRenderedPageBreak/>
              <w:t>Меблі та приладдя</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1017</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1595</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t>Інші основні засоби</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23</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23</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t>Незавершене будівництво та невстановлене обладнання</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748</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844</w:t>
            </w:r>
          </w:p>
        </w:tc>
      </w:tr>
    </w:tbl>
    <w:p w:rsidR="001472D7" w:rsidRDefault="001472D7">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період 2020 року  Товариство придбало основні засоби: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Інженерні споруди – 520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Машини та обладнання – 445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Транспортні засоби –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Інструменти, прилади, інвентар – 63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Інші основні засоби –104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Сума контрактних зобов’язань по придбаним основним засобам дорівнює 1132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період 2020 року вибуло в основних засобів:</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Машини та обладнання – 148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Інструменти, прилади, інвентар – 599 тис. грн.;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звітний період Товариство нарахувало амортизації в сумі 1523  тис. грн..</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Вартість нематеріальних активів Товариства за станом на 31 грудня 2020 року визначена в сумі 865  тис. грн.</w:t>
      </w:r>
    </w:p>
    <w:p w:rsidR="001472D7" w:rsidRDefault="00E60293">
      <w:pPr>
        <w:rPr>
          <w:rFonts w:ascii="Times New Roman" w:eastAsia="Times New Roman" w:hAnsi="Times New Roman" w:cs="Times New Roman"/>
          <w:sz w:val="24"/>
        </w:rPr>
      </w:pPr>
      <w:r>
        <w:rPr>
          <w:rFonts w:ascii="Times New Roman" w:eastAsia="Times New Roman" w:hAnsi="Times New Roman" w:cs="Times New Roman"/>
          <w:sz w:val="24"/>
        </w:rPr>
        <w:t>Первісна вартість становить –  1141  тис. грн., амортизація –  276  тис. грн.</w:t>
      </w:r>
    </w:p>
    <w:tbl>
      <w:tblPr>
        <w:tblW w:w="0" w:type="auto"/>
        <w:jc w:val="center"/>
        <w:tblCellMar>
          <w:left w:w="10" w:type="dxa"/>
          <w:right w:w="10" w:type="dxa"/>
        </w:tblCellMar>
        <w:tblLook w:val="04A0" w:firstRow="1" w:lastRow="0" w:firstColumn="1" w:lastColumn="0" w:noHBand="0" w:noVBand="1"/>
      </w:tblPr>
      <w:tblGrid>
        <w:gridCol w:w="3449"/>
        <w:gridCol w:w="2985"/>
        <w:gridCol w:w="2911"/>
      </w:tblGrid>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t>Нематеріальні активи</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На 31.12.2020 року</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На 31.12.2019 року</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1 – комп’ютерне програмне забезпечення</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2 – авторські та суміжні права</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20</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20</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3 – торгові марки та ліцензії</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Клас 4 – інші нематеріальні  активи</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845</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777</w:t>
            </w:r>
          </w:p>
        </w:tc>
      </w:tr>
    </w:tbl>
    <w:p w:rsidR="001472D7" w:rsidRDefault="001472D7">
      <w:pPr>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звітний період Товариство нарахувало амортизації в сумі 56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володіє всіма правами на свої основні засоби і нематеріальні активи.</w:t>
      </w:r>
    </w:p>
    <w:p w:rsidR="001472D7" w:rsidRDefault="001472D7">
      <w:pPr>
        <w:spacing w:before="100" w:after="100" w:line="240" w:lineRule="auto"/>
        <w:rPr>
          <w:rFonts w:ascii="Times New Roman" w:eastAsia="Times New Roman" w:hAnsi="Times New Roman" w:cs="Times New Roman"/>
          <w:sz w:val="24"/>
        </w:rPr>
      </w:pPr>
    </w:p>
    <w:p w:rsidR="001472D7" w:rsidRDefault="001472D7">
      <w:pPr>
        <w:spacing w:before="100" w:after="100" w:line="240" w:lineRule="auto"/>
        <w:rPr>
          <w:rFonts w:ascii="Times New Roman" w:eastAsia="Times New Roman" w:hAnsi="Times New Roman" w:cs="Times New Roman"/>
          <w:sz w:val="24"/>
        </w:rPr>
      </w:pP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7</w:t>
      </w:r>
      <w:r w:rsidR="00E60293">
        <w:rPr>
          <w:rFonts w:ascii="Times New Roman" w:eastAsia="Times New Roman" w:hAnsi="Times New Roman" w:cs="Times New Roman"/>
          <w:b/>
          <w:sz w:val="32"/>
        </w:rPr>
        <w:t>. Запаси.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 станом на 31 грудня 2020 року Товариство визнає у складі поточних активів запаси в сумі 12307  тис. грн..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Запаси Товариства відображені у фінансовій звітності за справедливою вартістю.</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Запаси за чистою вартістю реалізації за станом на 31 грудня 2020 року не відображені.</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класифікує запаси у відповідності до обраної облікової політики та визначає класи запасів у порівнянні:</w:t>
      </w:r>
    </w:p>
    <w:tbl>
      <w:tblPr>
        <w:tblW w:w="0" w:type="auto"/>
        <w:jc w:val="center"/>
        <w:tblCellMar>
          <w:left w:w="10" w:type="dxa"/>
          <w:right w:w="10" w:type="dxa"/>
        </w:tblCellMar>
        <w:tblLook w:val="04A0" w:firstRow="1" w:lastRow="0" w:firstColumn="1" w:lastColumn="0" w:noHBand="0" w:noVBand="1"/>
      </w:tblPr>
      <w:tblGrid>
        <w:gridCol w:w="3446"/>
        <w:gridCol w:w="2986"/>
        <w:gridCol w:w="2913"/>
      </w:tblGrid>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pPr>
            <w:r>
              <w:rPr>
                <w:rFonts w:ascii="Times New Roman" w:eastAsia="Times New Roman" w:hAnsi="Times New Roman" w:cs="Times New Roman"/>
                <w:sz w:val="24"/>
              </w:rPr>
              <w:t>Запаси</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На 31.12.2020 року</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На 31.12.2019 року</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Виробничі запаси</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4718</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6583</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Незавершене виробництво</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2146</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45</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Готова продукція</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5335</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3742</w:t>
            </w:r>
          </w:p>
        </w:tc>
      </w:tr>
      <w:tr w:rsidR="001472D7">
        <w:trPr>
          <w:trHeight w:val="454"/>
          <w:jc w:val="center"/>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Товари</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108</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110</w:t>
            </w:r>
          </w:p>
        </w:tc>
      </w:tr>
    </w:tbl>
    <w:p w:rsidR="001472D7" w:rsidRDefault="001472D7">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 відповідності  до обраної облікової політики Товариство визначає собівартість запасів  за формулою середньозваженої собівартості. Таким чином одиниці запасів, які залишилися за станом на 31 грудня 2020 року  є такими, що визначені по </w:t>
      </w:r>
      <w:r>
        <w:rPr>
          <w:rFonts w:ascii="Times New Roman" w:eastAsia="Times New Roman" w:hAnsi="Times New Roman" w:cs="Times New Roman"/>
        </w:rPr>
        <w:t>собівартості подібних одиниць, що були придбані або вироблені протягом періоду.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застосовує дану формулу до всіх запасів, що визнані в залишках на 31 грудня 2020 року.</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Балансова вартість запасів, котрі реалізовані, визнається витратами періоду, в якому визнається відповідний дохід.  </w:t>
      </w:r>
    </w:p>
    <w:p w:rsidR="001472D7" w:rsidRDefault="001472D7">
      <w:pPr>
        <w:spacing w:before="100" w:after="100" w:line="240" w:lineRule="auto"/>
        <w:rPr>
          <w:rFonts w:ascii="Times New Roman" w:eastAsia="Times New Roman" w:hAnsi="Times New Roman" w:cs="Times New Roman"/>
          <w:sz w:val="24"/>
        </w:rPr>
      </w:pP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8</w:t>
      </w:r>
      <w:r w:rsidR="00E60293">
        <w:rPr>
          <w:rFonts w:ascii="Times New Roman" w:eastAsia="Times New Roman" w:hAnsi="Times New Roman" w:cs="Times New Roman"/>
          <w:b/>
          <w:sz w:val="32"/>
        </w:rPr>
        <w:t>. Фінансові інструменти.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визнає, оцінює  та подає  інформацію щодо фінансових інструментів у відповідності до МСБО 32  «Фінансові інструменти: подання», МСФЗ 7 «Фінансові інструменти: розкриття інформації», МСФЗ 9 «Фінансові інструменти».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за 2020 рік визнало  фінансовим інструментом будь-який контракт, який приводить до виникнення фінансового активу у одного суб`єкта господарювання та фінансового зобов`язання або інструмента капіталу, у іншого суб`єкта господарювання.</w:t>
      </w:r>
    </w:p>
    <w:p w:rsidR="001472D7" w:rsidRDefault="00E60293">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За станом на 31 грудня 2020 року Товариство визнає такі непоточні фінансові активи: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станом на 31 грудня 2020 року Товариство визнає непоточним фінансовим активом довгострокові фінансові інвестиції в сумі 306 тис. грн..</w:t>
      </w:r>
    </w:p>
    <w:p w:rsidR="001472D7" w:rsidRDefault="00E60293">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За станом на 31 грудня 2020 року Товариство визнає такі поточні фінансові активи: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станом на 31 грудня 2020 року Товариство визнає поточну торговельну дебіторську заборгованість в сумі  3333 тис. грн., котра виникла як контрактне право отримувати грошові кошти від вітчизняних та іноземних покупців за реалізовану продукцію, реалізовані товари, надані послуги.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Аванси з податків та інших платежів на 31 грудня 2020 року визначені в сумі 235 тис. грн., у тому числі з податку на прибуток в сумі 138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Інша поточна дебіторська заборгованість Товариства складає 1843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визнає за станом на 31 грудня 2020 року поточним фінансовим активом грошові кошти та їх еквіваленти  в сумі 130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 станом на 31 грудня 2020 року Товариство визнає інші поточні фінансові активи  в сумі 215 тис. грн.. </w:t>
      </w:r>
    </w:p>
    <w:p w:rsidR="001472D7" w:rsidRDefault="001472D7">
      <w:pPr>
        <w:spacing w:before="100" w:after="100" w:line="240" w:lineRule="auto"/>
        <w:ind w:left="786"/>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За станом на 31 грудня 2020 року Товариство визнає  такі поточні фінансові зобов’язання :</w:t>
      </w:r>
    </w:p>
    <w:p w:rsidR="001472D7" w:rsidRDefault="00E60293">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sz w:val="24"/>
        </w:rPr>
        <w:t>За станом на 31 грудня 2020 року Товариство визнає поточним фінансовим зобов’язанням векселі видані в сумі 1645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станом на 31 грудня 2020 року Товариство визнає поточним фінансовим зобов’язанням торговельну кредиторську заборгованість, як контрактне зобов’язання надавати грошові кошти за придбані товари, роботи, послуги в сумі 24299 тис. грн., у тому числі 91% кредиторської заборгованості перед ПАТ «Кіровоградграніт» (Кіровоградська область).</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визнає поточним фінансовим зобов’язанням за станом на 31 грудня 2020 року поточну заборгованість по податкам та іншим платежам, крім податку на прибуток, в сумі 214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визнає поточним фінансовим зобов’язанням за станом на 31 грудня 2020 року поточну заборгованість зі страхування  в сумі 87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визнає поточним фінансовим зобов’язанням за станом на 31 грудня 2020 року поточну заборгованість з оплати праці  в сумі 337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Інші поточні фінансові зобов’язання Товариство на 31 грудня 2020 року визнає в сумі 2922 тис. грн., в основному короткострокові поворотні фінансові допомоги та інша заборгованість що стосується діяльності Товариства.</w:t>
      </w:r>
    </w:p>
    <w:p w:rsidR="001472D7" w:rsidRDefault="00305F50">
      <w:pPr>
        <w:spacing w:before="100" w:after="100" w:line="240" w:lineRule="auto"/>
        <w:rPr>
          <w:rFonts w:ascii="Times New Roman" w:eastAsia="Times New Roman" w:hAnsi="Times New Roman" w:cs="Times New Roman"/>
        </w:rPr>
      </w:pPr>
      <w:r>
        <w:rPr>
          <w:rFonts w:ascii="Times New Roman" w:eastAsia="Times New Roman" w:hAnsi="Times New Roman" w:cs="Times New Roman"/>
          <w:b/>
          <w:sz w:val="32"/>
        </w:rPr>
        <w:t>9</w:t>
      </w:r>
      <w:r w:rsidR="00E60293">
        <w:rPr>
          <w:rFonts w:ascii="Times New Roman" w:eastAsia="Times New Roman" w:hAnsi="Times New Roman" w:cs="Times New Roman"/>
          <w:b/>
          <w:sz w:val="32"/>
        </w:rPr>
        <w:t>. Власний капітал.</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Товариство визнає, оцінює  та подає  інформацію щодо фінансових інструментів власного капіталу  у відповідності до  МСБО 32  «Фінансові інструменти: подання», МСФЗ 7 «Фінансові інструменти: розкриття інформації», МСФЗ 9 «Фінансові інструменти».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Зареєстрований  капітал  Товариство визнає в сумі 50000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Зареєстрований  капітал  станом на 31 грудня 2020  року це  статутний капітал  Товариства,  що становить 50 000 000,00 гривень. Статутний капітал  Товариства становить сто відсотків та поділений  між учасниками наступним чином :</w:t>
      </w:r>
    </w:p>
    <w:p w:rsidR="001472D7" w:rsidRDefault="00E60293">
      <w:pPr>
        <w:numPr>
          <w:ilvl w:val="0"/>
          <w:numId w:val="3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З ОБМЕЖЕНОЮ ВІДПОВІДАЛЬНІСТЮ "ГРАНЕКС" – 8,2% статутного капіталу;</w:t>
      </w:r>
    </w:p>
    <w:p w:rsidR="001472D7" w:rsidRDefault="00E60293">
      <w:pPr>
        <w:numPr>
          <w:ilvl w:val="0"/>
          <w:numId w:val="3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ТОВАРИСТВО З ОБМЕЖЕНОЮ ВІДПОВІДАЛЬНІСТЮ "ГРАНТРАНС" – 0,1% статутного капіталу;</w:t>
      </w:r>
    </w:p>
    <w:p w:rsidR="001472D7" w:rsidRDefault="00E60293">
      <w:pPr>
        <w:numPr>
          <w:ilvl w:val="0"/>
          <w:numId w:val="3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ПУБЛІЧНЕ АКЦІОНЕРНЕ ТОВАРИСТВО "КІРОВОГРАДГРАНІТ" – 50,314% статутного капіталу;</w:t>
      </w:r>
    </w:p>
    <w:p w:rsidR="001472D7" w:rsidRPr="00BF76A8" w:rsidRDefault="00E60293">
      <w:pPr>
        <w:numPr>
          <w:ilvl w:val="0"/>
          <w:numId w:val="31"/>
        </w:numPr>
        <w:spacing w:after="0" w:line="240" w:lineRule="auto"/>
        <w:ind w:left="720" w:hanging="360"/>
        <w:rPr>
          <w:rFonts w:ascii="Times New Roman" w:eastAsia="Times New Roman" w:hAnsi="Times New Roman" w:cs="Times New Roman"/>
          <w:sz w:val="24"/>
          <w:lang w:val="en-US"/>
        </w:rPr>
      </w:pPr>
      <w:r>
        <w:rPr>
          <w:rFonts w:ascii="Times New Roman" w:eastAsia="Times New Roman" w:hAnsi="Times New Roman" w:cs="Times New Roman"/>
          <w:sz w:val="24"/>
        </w:rPr>
        <w:t>Компанія</w:t>
      </w:r>
      <w:r w:rsidRPr="00BF76A8">
        <w:rPr>
          <w:rFonts w:ascii="Times New Roman" w:eastAsia="Times New Roman" w:hAnsi="Times New Roman" w:cs="Times New Roman"/>
          <w:sz w:val="24"/>
          <w:lang w:val="en-US"/>
        </w:rPr>
        <w:t xml:space="preserve"> "Forgroup Management Limited" – 41,386% </w:t>
      </w:r>
      <w:r>
        <w:rPr>
          <w:rFonts w:ascii="Times New Roman" w:eastAsia="Times New Roman" w:hAnsi="Times New Roman" w:cs="Times New Roman"/>
          <w:sz w:val="24"/>
        </w:rPr>
        <w:t>статутного</w:t>
      </w:r>
      <w:r w:rsidRPr="00BF76A8">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капіталу</w:t>
      </w:r>
      <w:r w:rsidRPr="00BF76A8">
        <w:rPr>
          <w:rFonts w:ascii="Times New Roman" w:eastAsia="Times New Roman" w:hAnsi="Times New Roman" w:cs="Times New Roman"/>
          <w:sz w:val="24"/>
          <w:lang w:val="en-US"/>
        </w:rPr>
        <w:t>.</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Зменшує власний капітал Товариства збиток, що за станом на 31 грудня 2020 року складає 19255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приводе структуру власного капіталу у порівнянні:</w:t>
      </w:r>
    </w:p>
    <w:tbl>
      <w:tblPr>
        <w:tblW w:w="0" w:type="auto"/>
        <w:jc w:val="center"/>
        <w:tblCellMar>
          <w:left w:w="10" w:type="dxa"/>
          <w:right w:w="10" w:type="dxa"/>
        </w:tblCellMar>
        <w:tblLook w:val="04A0" w:firstRow="1" w:lastRow="0" w:firstColumn="1" w:lastColumn="0" w:noHBand="0" w:noVBand="1"/>
      </w:tblPr>
      <w:tblGrid>
        <w:gridCol w:w="3453"/>
        <w:gridCol w:w="2983"/>
        <w:gridCol w:w="2909"/>
      </w:tblGrid>
      <w:tr w:rsidR="001472D7">
        <w:trPr>
          <w:trHeight w:val="454"/>
          <w:jc w:val="center"/>
        </w:trPr>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1472D7">
            <w:pPr>
              <w:spacing w:before="100" w:after="100" w:line="240" w:lineRule="auto"/>
              <w:rPr>
                <w:rFonts w:ascii="Calibri" w:eastAsia="Calibri" w:hAnsi="Calibri" w:cs="Calibri"/>
              </w:rPr>
            </w:pP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На 31.12.2020 року</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На 31.12.2019 року</w:t>
            </w:r>
          </w:p>
        </w:tc>
      </w:tr>
      <w:tr w:rsidR="001472D7">
        <w:trPr>
          <w:trHeight w:val="454"/>
          <w:jc w:val="center"/>
        </w:trPr>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Зареєстрований капітал</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50000</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50000</w:t>
            </w:r>
          </w:p>
        </w:tc>
      </w:tr>
      <w:tr w:rsidR="001472D7">
        <w:trPr>
          <w:trHeight w:val="454"/>
          <w:jc w:val="center"/>
        </w:trPr>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t>Непокритий збиток</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19255</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13911</w:t>
            </w:r>
          </w:p>
        </w:tc>
      </w:tr>
      <w:tr w:rsidR="001472D7">
        <w:trPr>
          <w:trHeight w:val="454"/>
          <w:jc w:val="center"/>
        </w:trPr>
        <w:tc>
          <w:tcPr>
            <w:tcW w:w="3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72D7" w:rsidRDefault="00E60293">
            <w:pPr>
              <w:spacing w:before="100" w:after="100" w:line="240" w:lineRule="auto"/>
            </w:pPr>
            <w:r>
              <w:rPr>
                <w:rFonts w:ascii="Times New Roman" w:eastAsia="Times New Roman" w:hAnsi="Times New Roman" w:cs="Times New Roman"/>
                <w:sz w:val="24"/>
              </w:rPr>
              <w:lastRenderedPageBreak/>
              <w:t>Разом власний капітал</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30745</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36089</w:t>
            </w:r>
          </w:p>
        </w:tc>
      </w:tr>
    </w:tbl>
    <w:p w:rsidR="001472D7" w:rsidRDefault="001472D7">
      <w:pPr>
        <w:spacing w:before="100" w:after="100" w:line="240" w:lineRule="auto"/>
        <w:rPr>
          <w:rFonts w:ascii="Times New Roman" w:eastAsia="Times New Roman" w:hAnsi="Times New Roman" w:cs="Times New Roman"/>
          <w:sz w:val="24"/>
        </w:rPr>
      </w:pPr>
    </w:p>
    <w:p w:rsidR="001472D7" w:rsidRDefault="001472D7">
      <w:pPr>
        <w:spacing w:before="100" w:after="100" w:line="240" w:lineRule="auto"/>
        <w:rPr>
          <w:rFonts w:ascii="Times New Roman" w:eastAsia="Times New Roman" w:hAnsi="Times New Roman" w:cs="Times New Roman"/>
          <w:sz w:val="24"/>
        </w:rPr>
      </w:pPr>
    </w:p>
    <w:p w:rsidR="001472D7" w:rsidRDefault="001472D7">
      <w:pPr>
        <w:spacing w:before="100" w:after="100" w:line="240" w:lineRule="auto"/>
        <w:rPr>
          <w:rFonts w:ascii="Times New Roman" w:eastAsia="Times New Roman" w:hAnsi="Times New Roman" w:cs="Times New Roman"/>
          <w:sz w:val="24"/>
        </w:rPr>
      </w:pPr>
    </w:p>
    <w:p w:rsidR="001472D7" w:rsidRDefault="00305F50">
      <w:pPr>
        <w:spacing w:before="100" w:after="100" w:line="240" w:lineRule="auto"/>
        <w:rPr>
          <w:rFonts w:ascii="Times New Roman" w:eastAsia="Times New Roman" w:hAnsi="Times New Roman" w:cs="Times New Roman"/>
        </w:rPr>
      </w:pPr>
      <w:r>
        <w:rPr>
          <w:rFonts w:ascii="Times New Roman" w:eastAsia="Times New Roman" w:hAnsi="Times New Roman" w:cs="Times New Roman"/>
          <w:b/>
          <w:sz w:val="32"/>
        </w:rPr>
        <w:t>10</w:t>
      </w:r>
      <w:r w:rsidR="00E60293">
        <w:rPr>
          <w:rFonts w:ascii="Times New Roman" w:eastAsia="Times New Roman" w:hAnsi="Times New Roman" w:cs="Times New Roman"/>
          <w:b/>
          <w:sz w:val="32"/>
        </w:rPr>
        <w:t>. Рух грошових коштів.</w:t>
      </w:r>
    </w:p>
    <w:p w:rsidR="001472D7" w:rsidRDefault="00E60293">
      <w:pPr>
        <w:spacing w:line="240" w:lineRule="auto"/>
        <w:ind w:firstLine="60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«Звіт про рух грошових коштів» за результатами  2020 року складений з урахуванням вимог МСБО № 7.</w:t>
      </w:r>
    </w:p>
    <w:p w:rsidR="001472D7" w:rsidRDefault="00E60293">
      <w:pPr>
        <w:spacing w:line="240" w:lineRule="auto"/>
        <w:ind w:firstLine="60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Під час заповнення розділів форми застосовується прямий метод, який базується на безпосередньому використанні даних з регістрів бухгалтерського обліку щодо дебетових або кредитових оборотів грошових коштів за звітний період у кореспонденції з рахунками бухгалтерського обліку операцій, активів або зобов’язань.</w:t>
      </w:r>
    </w:p>
    <w:p w:rsidR="001472D7" w:rsidRDefault="00E60293">
      <w:pPr>
        <w:spacing w:line="240" w:lineRule="auto"/>
        <w:ind w:firstLine="60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 «Звіті про рух грошових коштів» подається інформація про суму чистого надходження або чистого видатку грошової маси у Товариства за рік у розрізі операційної, інвестиційної та фінансової діяльності. Цей звіт характеризує здатність Товариства своєю діяльністю генерувати надходження грошових коштів, використовується для оцінювання потреб Товариства щодо напрямів та обсягів їх витрачання. Дозволяє побачити реальну ефективність кожного економічного виду діяльності Товариства – операційної, інвестиційної  та фінансової.</w:t>
      </w:r>
    </w:p>
    <w:p w:rsidR="001472D7" w:rsidRDefault="00E60293">
      <w:pPr>
        <w:spacing w:line="240" w:lineRule="auto"/>
        <w:ind w:firstLine="60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 підприємству за 2020 рік, чистий рух коштів від операційної діяльності 55 тис. грн.</w:t>
      </w:r>
    </w:p>
    <w:p w:rsidR="001472D7" w:rsidRDefault="00305F50">
      <w:pPr>
        <w:spacing w:before="100" w:after="100" w:line="240" w:lineRule="auto"/>
        <w:rPr>
          <w:rFonts w:ascii="Times New Roman" w:eastAsia="Times New Roman" w:hAnsi="Times New Roman" w:cs="Times New Roman"/>
        </w:rPr>
      </w:pPr>
      <w:r>
        <w:rPr>
          <w:rFonts w:ascii="Times New Roman" w:eastAsia="Times New Roman" w:hAnsi="Times New Roman" w:cs="Times New Roman"/>
          <w:b/>
          <w:sz w:val="32"/>
        </w:rPr>
        <w:t>11</w:t>
      </w:r>
      <w:r w:rsidR="00E60293">
        <w:rPr>
          <w:rFonts w:ascii="Times New Roman" w:eastAsia="Times New Roman" w:hAnsi="Times New Roman" w:cs="Times New Roman"/>
          <w:b/>
          <w:sz w:val="32"/>
        </w:rPr>
        <w:t>. Дохід.</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застосовує МСФЗ 15 «Дохід від договорів з клієнтами» до обліку доходу за 2020 рік.</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1. Дохід від продажу за 2020 рік 25320 тис.грн.складає:</w:t>
      </w:r>
    </w:p>
    <w:p w:rsidR="001472D7" w:rsidRDefault="00E60293">
      <w:pPr>
        <w:numPr>
          <w:ilvl w:val="0"/>
          <w:numId w:val="32"/>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виготовлена власна  продукція – 21120 тис. грн.;</w:t>
      </w:r>
    </w:p>
    <w:p w:rsidR="001472D7" w:rsidRDefault="00E60293">
      <w:pPr>
        <w:numPr>
          <w:ilvl w:val="0"/>
          <w:numId w:val="32"/>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товари придбані –3098 тис. грн.;</w:t>
      </w:r>
    </w:p>
    <w:p w:rsidR="001472D7" w:rsidRDefault="00E60293">
      <w:pPr>
        <w:numPr>
          <w:ilvl w:val="0"/>
          <w:numId w:val="32"/>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надані послуги – 1102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2. Прибуток від інших операцій:</w:t>
      </w:r>
    </w:p>
    <w:p w:rsidR="001472D7" w:rsidRDefault="00E60293">
      <w:pPr>
        <w:numPr>
          <w:ilvl w:val="0"/>
          <w:numId w:val="33"/>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інший прибуток - 4907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розкриває та подає інформацію у звіті про сукупний дохід за 2020 рік  у відповідності до МСБО 1 «Подання фінансової звітності» за методом «функції витрат» в порівнянні:</w:t>
      </w:r>
    </w:p>
    <w:p w:rsidR="001472D7" w:rsidRDefault="001472D7">
      <w:pPr>
        <w:spacing w:before="100" w:after="100" w:line="240" w:lineRule="auto"/>
        <w:rPr>
          <w:rFonts w:ascii="Times New Roman" w:eastAsia="Times New Roman" w:hAnsi="Times New Roman" w:cs="Times New Roman"/>
          <w:sz w:val="24"/>
        </w:rPr>
      </w:pPr>
    </w:p>
    <w:tbl>
      <w:tblPr>
        <w:tblW w:w="0" w:type="auto"/>
        <w:tblInd w:w="128" w:type="dxa"/>
        <w:tblCellMar>
          <w:left w:w="10" w:type="dxa"/>
          <w:right w:w="10" w:type="dxa"/>
        </w:tblCellMar>
        <w:tblLook w:val="04A0" w:firstRow="1" w:lastRow="0" w:firstColumn="1" w:lastColumn="0" w:noHBand="0" w:noVBand="1"/>
      </w:tblPr>
      <w:tblGrid>
        <w:gridCol w:w="3542"/>
        <w:gridCol w:w="3065"/>
        <w:gridCol w:w="2600"/>
      </w:tblGrid>
      <w:tr w:rsidR="001472D7">
        <w:trPr>
          <w:trHeight w:val="454"/>
        </w:trPr>
        <w:tc>
          <w:tcPr>
            <w:tcW w:w="361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b/>
                <w:sz w:val="24"/>
              </w:rPr>
              <w:t>Доходи і витрати</w:t>
            </w:r>
          </w:p>
        </w:tc>
        <w:tc>
          <w:tcPr>
            <w:tcW w:w="3178"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За 2020 рік</w:t>
            </w:r>
          </w:p>
        </w:tc>
        <w:tc>
          <w:tcPr>
            <w:tcW w:w="2689"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За 2019 рік</w:t>
            </w: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Дохід від продажу</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25320</w:t>
            </w: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30351</w:t>
            </w: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Собівартість реалізації</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20925</w:t>
            </w: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29213</w:t>
            </w: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Валовий прибуток</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4395</w:t>
            </w: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1138</w:t>
            </w: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Інші фінансові доходи</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lastRenderedPageBreak/>
              <w:t>Інший дохід</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49096C">
            <w:pPr>
              <w:spacing w:before="100" w:after="100" w:line="240" w:lineRule="auto"/>
              <w:jc w:val="center"/>
              <w:rPr>
                <w:rFonts w:ascii="Calibri" w:eastAsia="Calibri" w:hAnsi="Calibri" w:cs="Calibri"/>
              </w:rPr>
            </w:pPr>
            <w:r>
              <w:rPr>
                <w:rFonts w:ascii="Calibri" w:eastAsia="Calibri" w:hAnsi="Calibri" w:cs="Calibri"/>
              </w:rPr>
              <w:t>4882</w:t>
            </w: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25779</w:t>
            </w: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Адміністративні витрати</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2178</w:t>
            </w: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3121</w:t>
            </w: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Витрати на збут</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2131</w:t>
            </w: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3952</w:t>
            </w: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Фінансові витрати</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Інші витрати</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49096C">
            <w:pPr>
              <w:spacing w:before="100" w:after="100" w:line="240" w:lineRule="auto"/>
              <w:jc w:val="center"/>
            </w:pPr>
            <w:r>
              <w:rPr>
                <w:rFonts w:ascii="Times New Roman" w:eastAsia="Times New Roman" w:hAnsi="Times New Roman" w:cs="Times New Roman"/>
                <w:sz w:val="24"/>
              </w:rPr>
              <w:t>10312</w:t>
            </w: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14283</w:t>
            </w: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Податок на прибуток</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1472D7">
            <w:pPr>
              <w:spacing w:before="100" w:after="100" w:line="240" w:lineRule="auto"/>
              <w:jc w:val="center"/>
              <w:rPr>
                <w:rFonts w:ascii="Calibri" w:eastAsia="Calibri" w:hAnsi="Calibri" w:cs="Calibri"/>
              </w:rPr>
            </w:pPr>
          </w:p>
        </w:tc>
      </w:tr>
      <w:tr w:rsidR="001472D7">
        <w:trPr>
          <w:trHeight w:val="454"/>
        </w:trPr>
        <w:tc>
          <w:tcPr>
            <w:tcW w:w="361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Прибуток(збиток) за рік</w:t>
            </w:r>
          </w:p>
        </w:tc>
        <w:tc>
          <w:tcPr>
            <w:tcW w:w="317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pPr>
            <w:r>
              <w:rPr>
                <w:rFonts w:ascii="Times New Roman" w:eastAsia="Times New Roman" w:hAnsi="Times New Roman" w:cs="Times New Roman"/>
                <w:sz w:val="24"/>
              </w:rPr>
              <w:t>-5344</w:t>
            </w:r>
          </w:p>
        </w:tc>
        <w:tc>
          <w:tcPr>
            <w:tcW w:w="268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1472D7" w:rsidRDefault="00E60293">
            <w:pPr>
              <w:spacing w:before="100" w:after="100" w:line="240" w:lineRule="auto"/>
              <w:jc w:val="center"/>
              <w:rPr>
                <w:rFonts w:ascii="Calibri" w:eastAsia="Calibri" w:hAnsi="Calibri" w:cs="Calibri"/>
              </w:rPr>
            </w:pPr>
            <w:r>
              <w:rPr>
                <w:rFonts w:ascii="Calibri" w:eastAsia="Calibri" w:hAnsi="Calibri" w:cs="Calibri"/>
              </w:rPr>
              <w:t>5561</w:t>
            </w:r>
          </w:p>
        </w:tc>
      </w:tr>
    </w:tbl>
    <w:p w:rsidR="001472D7" w:rsidRDefault="001472D7">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розкриває додаткову інформацію про характер основних витрат за 2020 рік:</w:t>
      </w:r>
    </w:p>
    <w:p w:rsidR="001472D7" w:rsidRDefault="008F7943">
      <w:pPr>
        <w:numPr>
          <w:ilvl w:val="0"/>
          <w:numId w:val="34"/>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 xml:space="preserve">матеріальні затрати  –  </w:t>
      </w:r>
      <w:r>
        <w:rPr>
          <w:rFonts w:ascii="Times New Roman" w:eastAsia="Times New Roman" w:hAnsi="Times New Roman" w:cs="Times New Roman"/>
          <w:sz w:val="24"/>
          <w:lang w:val="uk-UA"/>
        </w:rPr>
        <w:t>12497</w:t>
      </w:r>
      <w:r w:rsidR="00E60293">
        <w:rPr>
          <w:rFonts w:ascii="Times New Roman" w:eastAsia="Times New Roman" w:hAnsi="Times New Roman" w:cs="Times New Roman"/>
          <w:sz w:val="24"/>
        </w:rPr>
        <w:t xml:space="preserve"> тис. грн.;</w:t>
      </w:r>
    </w:p>
    <w:p w:rsidR="001472D7" w:rsidRDefault="00E60293">
      <w:pPr>
        <w:numPr>
          <w:ilvl w:val="0"/>
          <w:numId w:val="34"/>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витрати на оплату праці  – 13178 тис. грн.;</w:t>
      </w:r>
    </w:p>
    <w:p w:rsidR="001472D7" w:rsidRDefault="00E60293">
      <w:pPr>
        <w:numPr>
          <w:ilvl w:val="0"/>
          <w:numId w:val="34"/>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відрахування  на соціальні заходи – 2913 тис. грн.;</w:t>
      </w:r>
    </w:p>
    <w:p w:rsidR="001472D7" w:rsidRDefault="00E60293">
      <w:pPr>
        <w:numPr>
          <w:ilvl w:val="0"/>
          <w:numId w:val="34"/>
        </w:numPr>
        <w:spacing w:before="100" w:after="100" w:line="240" w:lineRule="auto"/>
        <w:ind w:left="540" w:hanging="360"/>
        <w:rPr>
          <w:rFonts w:ascii="Times New Roman" w:eastAsia="Times New Roman" w:hAnsi="Times New Roman" w:cs="Times New Roman"/>
          <w:sz w:val="24"/>
        </w:rPr>
      </w:pPr>
      <w:r>
        <w:rPr>
          <w:rFonts w:ascii="Times New Roman" w:eastAsia="Times New Roman" w:hAnsi="Times New Roman" w:cs="Times New Roman"/>
          <w:sz w:val="24"/>
        </w:rPr>
        <w:t>амортизація – 1579 тис. грн..</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12</w:t>
      </w:r>
      <w:r w:rsidR="00E60293">
        <w:rPr>
          <w:rFonts w:ascii="Times New Roman" w:eastAsia="Times New Roman" w:hAnsi="Times New Roman" w:cs="Times New Roman"/>
          <w:b/>
          <w:sz w:val="32"/>
        </w:rPr>
        <w:t>. Податок на прибуток.</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у відповідності до МСБО 12 «Податки на прибуток» визначає обліковий підхід до податків на прибуток.</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Поточний податок на прибуток Товариство за 2020 рік не нараховувало.</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станом на 31 грудня 2020 року у складі поточних фінансових активів  Товариство визнає переплату  з податку на прибуток  в сумі  138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у відповідності до МСБО 12 «Податки на прибуток» визнає,  що  за станом на 31 грудня 2020 року  майбутні податкові наслідки відсутні.</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13</w:t>
      </w:r>
      <w:r w:rsidR="00E60293">
        <w:rPr>
          <w:rFonts w:ascii="Times New Roman" w:eastAsia="Times New Roman" w:hAnsi="Times New Roman" w:cs="Times New Roman"/>
          <w:b/>
          <w:sz w:val="32"/>
        </w:rPr>
        <w:t>. Виплати працівникам.</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У відповідності до МСБО 19 «Виплати працівникам» Товариство розкриває інформацію стосовно короткострокових  виплат працівникам за 2020 рік , таких  як заробітна плата, оплачені щорічні відпустки та премії, а також виплати на соціальне забезпечення.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Заробітної плати, оплати щорічних відпусток  за 2020 рік нараховано  13178 тис. грн., на соціальне страхування за 2020 рік  нараховано  2913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За станом на 31 грудня 2020 року у звіті про фінансовий стан Товариства визнає  поточну заборгованість за виплатами працівникам  в сумі 337 тис. грн..</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Середня чисельність працівників Товариства за 202</w:t>
      </w:r>
      <w:r w:rsidR="00904955">
        <w:rPr>
          <w:rFonts w:ascii="Times New Roman" w:eastAsia="Times New Roman" w:hAnsi="Times New Roman" w:cs="Times New Roman"/>
          <w:sz w:val="24"/>
        </w:rPr>
        <w:t>0 рік складає 89  осіб</w:t>
      </w:r>
      <w:r>
        <w:rPr>
          <w:rFonts w:ascii="Times New Roman" w:eastAsia="Times New Roman" w:hAnsi="Times New Roman" w:cs="Times New Roman"/>
          <w:sz w:val="24"/>
        </w:rPr>
        <w:t>.</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14</w:t>
      </w:r>
      <w:r w:rsidR="00E60293">
        <w:rPr>
          <w:rFonts w:ascii="Times New Roman" w:eastAsia="Times New Roman" w:hAnsi="Times New Roman" w:cs="Times New Roman"/>
          <w:b/>
          <w:sz w:val="32"/>
        </w:rPr>
        <w:t>. Зв’язані сторони.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у відповідності до МСБО 24 «Розкриття інформації про зв’язані сторони»  розкриває інформацію щодо зв’язаних осіб у фінансовій звітності за 2020 рік.</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Зв’язаними особами Товариства є учасники, що утримують суттєвий відсоток статутного капіталу Товариства і впливають на діяльність Товариства:</w:t>
      </w:r>
    </w:p>
    <w:p w:rsidR="001472D7" w:rsidRDefault="00E60293">
      <w:pPr>
        <w:numPr>
          <w:ilvl w:val="0"/>
          <w:numId w:val="3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ПУБЛІЧНЕ АКЦІОНЕРНЕ ТОВАРИСТВО "КІРОВОГРАДГРАНІТ"</w:t>
      </w:r>
      <w:r>
        <w:rPr>
          <w:rFonts w:ascii="Times New Roman" w:eastAsia="Times New Roman" w:hAnsi="Times New Roman" w:cs="Times New Roman"/>
          <w:sz w:val="24"/>
        </w:rPr>
        <w:br/>
        <w:t>Код ЄДРПОУ засновника: 13744297</w:t>
      </w:r>
      <w:r>
        <w:rPr>
          <w:rFonts w:ascii="Times New Roman" w:eastAsia="Times New Roman" w:hAnsi="Times New Roman" w:cs="Times New Roman"/>
          <w:sz w:val="24"/>
        </w:rPr>
        <w:br/>
        <w:t xml:space="preserve">Адреса засновника: 27641, Кіровоградська обл., Кропивницький район, село </w:t>
      </w:r>
      <w:r>
        <w:rPr>
          <w:rFonts w:ascii="Times New Roman" w:eastAsia="Times New Roman" w:hAnsi="Times New Roman" w:cs="Times New Roman"/>
          <w:sz w:val="24"/>
        </w:rPr>
        <w:lastRenderedPageBreak/>
        <w:t>Соколівське, ВУЛИЦЯ ШОСЕЙНА, 50</w:t>
      </w:r>
      <w:r>
        <w:rPr>
          <w:rFonts w:ascii="Times New Roman" w:eastAsia="Times New Roman" w:hAnsi="Times New Roman" w:cs="Times New Roman"/>
          <w:sz w:val="24"/>
        </w:rPr>
        <w:br/>
        <w:t>Розмір внеску до статутного фонду (грн.): 25157000.00</w:t>
      </w:r>
    </w:p>
    <w:p w:rsidR="001472D7" w:rsidRDefault="00E60293">
      <w:pPr>
        <w:numPr>
          <w:ilvl w:val="0"/>
          <w:numId w:val="3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Компанія</w:t>
      </w:r>
      <w:r w:rsidRPr="00BF76A8">
        <w:rPr>
          <w:rFonts w:ascii="Times New Roman" w:eastAsia="Times New Roman" w:hAnsi="Times New Roman" w:cs="Times New Roman"/>
          <w:sz w:val="24"/>
          <w:lang w:val="en-US"/>
        </w:rPr>
        <w:t xml:space="preserve"> "Forgroup Management Limited", Unit B Cill trading Estate Fonthill Road, London N4 3HN England, GB.</w:t>
      </w:r>
      <w:r w:rsidRPr="00BF76A8">
        <w:rPr>
          <w:rFonts w:ascii="Times New Roman" w:eastAsia="Times New Roman" w:hAnsi="Times New Roman" w:cs="Times New Roman"/>
          <w:sz w:val="24"/>
          <w:lang w:val="en-US"/>
        </w:rPr>
        <w:br/>
      </w:r>
      <w:r>
        <w:rPr>
          <w:rFonts w:ascii="Times New Roman" w:eastAsia="Times New Roman" w:hAnsi="Times New Roman" w:cs="Times New Roman"/>
          <w:sz w:val="24"/>
        </w:rPr>
        <w:t>Розмір внеску до статутного фонду (грн.): 20693000.00.</w:t>
      </w:r>
    </w:p>
    <w:p w:rsidR="001472D7" w:rsidRDefault="00E6029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2020 році проводились операції з ПАТ «Кіровоградганіт» стосовно надання та отримання матеріалів та послуг у видобувній діяльності. Залишок торговельної кредиторської заборгованості на 31 грудня 2020 року складає 22223 тис. грн..</w:t>
      </w:r>
    </w:p>
    <w:p w:rsidR="001472D7" w:rsidRDefault="00E6029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Зв’язаними особами Товариства є члени провідного управлінського персоналу.</w:t>
      </w:r>
    </w:p>
    <w:p w:rsidR="001472D7" w:rsidRDefault="00E6029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 2020 рік поточні  виплати провідному  управлінському персоналу  становлять – 325 тис. грн.. </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15</w:t>
      </w:r>
      <w:r w:rsidR="00E60293">
        <w:rPr>
          <w:rFonts w:ascii="Times New Roman" w:eastAsia="Times New Roman" w:hAnsi="Times New Roman" w:cs="Times New Roman"/>
          <w:b/>
          <w:sz w:val="32"/>
        </w:rPr>
        <w:t>. Умовні активи і зобов’язання.</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i/>
          <w:sz w:val="24"/>
        </w:rPr>
        <w:t>Умови господарської діяльності</w:t>
      </w:r>
      <w:r>
        <w:rPr>
          <w:rFonts w:ascii="Times New Roman" w:eastAsia="Times New Roman" w:hAnsi="Times New Roman" w:cs="Times New Roman"/>
          <w:i/>
          <w:sz w:val="24"/>
        </w:rPr>
        <w:br/>
      </w:r>
      <w:r>
        <w:rPr>
          <w:rFonts w:ascii="Times New Roman" w:eastAsia="Times New Roman" w:hAnsi="Times New Roman" w:cs="Times New Roman"/>
          <w:sz w:val="24"/>
        </w:rPr>
        <w:t>На економічну діяльність та доходи Товариства в певній мірі впливають політичні, фінансові, адміністративні зміни, зміни чинного законодавства, що проходять в Україні. Враховуючи те, що галузь є чутливою до метеорологічних явищ (погодних умов), слід виходити також із значного впливу різного роду ризиків фізичних втрат. Характер подій та явищ, які пов'язані з цими ризиками, можливість їх виникнення, а також їх вплив на діяльність і прибутковість Товариства в майбутньому передбачити неможливо.</w:t>
      </w:r>
      <w:r>
        <w:rPr>
          <w:rFonts w:ascii="Times New Roman" w:eastAsia="Times New Roman" w:hAnsi="Times New Roman" w:cs="Times New Roman"/>
          <w:sz w:val="24"/>
        </w:rPr>
        <w:br/>
      </w:r>
      <w:r>
        <w:rPr>
          <w:rFonts w:ascii="Times New Roman" w:eastAsia="Times New Roman" w:hAnsi="Times New Roman" w:cs="Times New Roman"/>
          <w:i/>
          <w:sz w:val="24"/>
        </w:rPr>
        <w:t>Податкова система</w:t>
      </w:r>
      <w:r>
        <w:rPr>
          <w:rFonts w:ascii="Times New Roman" w:eastAsia="Times New Roman" w:hAnsi="Times New Roman" w:cs="Times New Roman"/>
          <w:sz w:val="24"/>
        </w:rPr>
        <w:br/>
        <w:t>В даний час в Україні діє ряд законів і нормативних актів відносно різноманітних податків і зборів, які стягуються як державними, так і місцевими органами влади. Закони, які регулюють податки, часто змінюються, а їх положення нечіткі.</w:t>
      </w:r>
      <w:r>
        <w:rPr>
          <w:rFonts w:ascii="Times New Roman" w:eastAsia="Times New Roman" w:hAnsi="Times New Roman" w:cs="Times New Roman"/>
          <w:sz w:val="24"/>
        </w:rPr>
        <w:br/>
        <w:t>Також немає достатньої кількості судових прецедентів щодо цих проблем. Часто існують різні точки зору відносно тлумачення правових норм серед державних міністерств і організацій, що викликає загальну невизначеність і створює підстави для конфліктних ситуацій. Правильність складання податкових декларацій, а також інші питання дотримання законодавства, підлягають перевірці і вивченню з боку ряду контролюючих органів, які в законодавчому порядку уповноважені накладати штрафи та пені в значних обсягах. Перераховані фактори визначають наявність в Україні податкових ризиків значно більших, ніж існують в країнах з більш розвиненою податковою системою.</w:t>
      </w:r>
      <w:r>
        <w:rPr>
          <w:rFonts w:ascii="Times New Roman" w:eastAsia="Times New Roman" w:hAnsi="Times New Roman" w:cs="Times New Roman"/>
          <w:sz w:val="24"/>
        </w:rPr>
        <w:br/>
        <w:t xml:space="preserve">Як правило, податкові декларації можуть перевірятися протягом невизначеного періоду часу. Проте, на практиці ризик ретроспективного стягнення податку або застосування фінансових санкцій значно зменшується по закінченні трьох років. </w:t>
      </w:r>
      <w:r>
        <w:rPr>
          <w:rFonts w:ascii="Times New Roman" w:eastAsia="Times New Roman" w:hAnsi="Times New Roman" w:cs="Times New Roman"/>
          <w:sz w:val="24"/>
        </w:rPr>
        <w:br/>
        <w:t>Керівництво вважає, що діяльність Товариства здійснюється в повній відповідності з діючим законодавством, що регулює його діяльність, і що Товариство нарахувало та сплатило всі відповідні податки. В тих випадках, коли існує невизначеність відносно сум податків до сплати, нарахування проводиться виходячи з оцінки керівництва Товариства на основі аналізу інформації, що є в його розпорядженні.</w:t>
      </w:r>
      <w:r>
        <w:rPr>
          <w:rFonts w:ascii="Times New Roman" w:eastAsia="Times New Roman" w:hAnsi="Times New Roman" w:cs="Times New Roman"/>
          <w:sz w:val="24"/>
        </w:rPr>
        <w:br/>
        <w:t>Однак не може бути впевненості у тому, що податкові органи не матимуть іншої думки щодо відповідальності Товариства чинному податковому законодавству та не застосують штрафні санкції.</w:t>
      </w:r>
      <w:r>
        <w:rPr>
          <w:rFonts w:ascii="Times New Roman" w:eastAsia="Times New Roman" w:hAnsi="Times New Roman" w:cs="Times New Roman"/>
          <w:sz w:val="24"/>
        </w:rPr>
        <w:br/>
        <w:t xml:space="preserve">У даній фінансовій звітності не були створені резерви по потенційних штрафах, пов’язаних з оподаткуванням. </w:t>
      </w:r>
      <w:r>
        <w:rPr>
          <w:rFonts w:ascii="Times New Roman" w:eastAsia="Times New Roman" w:hAnsi="Times New Roman" w:cs="Times New Roman"/>
          <w:sz w:val="24"/>
        </w:rPr>
        <w:br/>
      </w:r>
      <w:r>
        <w:rPr>
          <w:rFonts w:ascii="Times New Roman" w:eastAsia="Times New Roman" w:hAnsi="Times New Roman" w:cs="Times New Roman"/>
          <w:i/>
          <w:sz w:val="24"/>
        </w:rPr>
        <w:t>Юридичні зобов’язання</w:t>
      </w:r>
      <w:r>
        <w:rPr>
          <w:rFonts w:ascii="Times New Roman" w:eastAsia="Times New Roman" w:hAnsi="Times New Roman" w:cs="Times New Roman"/>
          <w:sz w:val="24"/>
        </w:rPr>
        <w:br/>
        <w:t>В ході звичайної діяльності Товариство має справу із судовими позовами та претензіями.</w:t>
      </w:r>
      <w:r>
        <w:rPr>
          <w:rFonts w:ascii="Times New Roman" w:eastAsia="Times New Roman" w:hAnsi="Times New Roman" w:cs="Times New Roman"/>
          <w:sz w:val="24"/>
        </w:rPr>
        <w:br/>
        <w:t>За оцінкою Товариства існує ймовірність задоволення позовів. У цій фінансовій звітності не було створено жодного забезпечення будь-яких зобов’язань, так як не було підстав для цього.</w:t>
      </w:r>
      <w:r>
        <w:rPr>
          <w:rFonts w:ascii="Times New Roman" w:eastAsia="Times New Roman" w:hAnsi="Times New Roman" w:cs="Times New Roman"/>
          <w:sz w:val="24"/>
        </w:rPr>
        <w:br/>
      </w:r>
      <w:r>
        <w:rPr>
          <w:rFonts w:ascii="Times New Roman" w:eastAsia="Times New Roman" w:hAnsi="Times New Roman" w:cs="Times New Roman"/>
          <w:i/>
          <w:sz w:val="24"/>
        </w:rPr>
        <w:t>Страхування</w:t>
      </w:r>
      <w:r>
        <w:rPr>
          <w:rFonts w:ascii="Times New Roman" w:eastAsia="Times New Roman" w:hAnsi="Times New Roman" w:cs="Times New Roman"/>
          <w:i/>
          <w:sz w:val="24"/>
        </w:rPr>
        <w:br/>
      </w:r>
      <w:r>
        <w:rPr>
          <w:rFonts w:ascii="Times New Roman" w:eastAsia="Times New Roman" w:hAnsi="Times New Roman" w:cs="Times New Roman"/>
          <w:sz w:val="24"/>
        </w:rPr>
        <w:lastRenderedPageBreak/>
        <w:t>Витрати Товариства на страхування незначні і включають до себе в основному тільки обов’язкові види страхування, передбачені законодавством України.</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16</w:t>
      </w:r>
      <w:r w:rsidR="00E60293">
        <w:rPr>
          <w:rFonts w:ascii="Times New Roman" w:eastAsia="Times New Roman" w:hAnsi="Times New Roman" w:cs="Times New Roman"/>
          <w:b/>
          <w:sz w:val="32"/>
        </w:rPr>
        <w:t>. Управління фінансовими ризиками.</w:t>
      </w:r>
    </w:p>
    <w:p w:rsidR="001472D7" w:rsidRDefault="00E60293">
      <w:pPr>
        <w:spacing w:before="100" w:after="100" w:line="240" w:lineRule="auto"/>
        <w:rPr>
          <w:rFonts w:ascii="Times New Roman" w:eastAsia="Times New Roman" w:hAnsi="Times New Roman" w:cs="Times New Roman"/>
          <w:b/>
          <w:sz w:val="32"/>
        </w:rPr>
      </w:pPr>
      <w:r>
        <w:rPr>
          <w:rFonts w:ascii="Calibri" w:eastAsia="Calibri" w:hAnsi="Calibri" w:cs="Calibri"/>
        </w:rPr>
        <w:br/>
      </w:r>
      <w:r>
        <w:rPr>
          <w:rFonts w:ascii="Times New Roman" w:eastAsia="Times New Roman" w:hAnsi="Times New Roman" w:cs="Times New Roman"/>
          <w:sz w:val="24"/>
        </w:rPr>
        <w:t>Операційна діяльність Товариства пов‘язана з певними фінансовими ризиками, включаючи вплив змін ринкових цін на сировину та матеріали. Крім того, діяльність Товариства має сезонний характер, та залежить від погодних умов, що впливають на виробничий процес.</w:t>
      </w:r>
      <w:r>
        <w:rPr>
          <w:rFonts w:ascii="Times New Roman" w:eastAsia="Times New Roman" w:hAnsi="Times New Roman" w:cs="Times New Roman"/>
          <w:sz w:val="24"/>
        </w:rPr>
        <w:br/>
      </w:r>
      <w:r>
        <w:rPr>
          <w:rFonts w:ascii="Times New Roman" w:eastAsia="Times New Roman" w:hAnsi="Times New Roman" w:cs="Times New Roman"/>
          <w:i/>
          <w:sz w:val="24"/>
        </w:rPr>
        <w:t>Валютний ризик:</w:t>
      </w:r>
      <w:r>
        <w:rPr>
          <w:rFonts w:ascii="Times New Roman" w:eastAsia="Times New Roman" w:hAnsi="Times New Roman" w:cs="Times New Roman"/>
          <w:i/>
          <w:sz w:val="24"/>
        </w:rPr>
        <w:br/>
      </w:r>
      <w:r>
        <w:rPr>
          <w:rFonts w:ascii="Times New Roman" w:eastAsia="Times New Roman" w:hAnsi="Times New Roman" w:cs="Times New Roman"/>
          <w:sz w:val="24"/>
        </w:rPr>
        <w:t>Товариство проводить зовнішньоекономічну діяльність. Поставка продукції та оплата здійснюється своєчасно, грошові кошти надходять на банківські рахунки своєчасно і в повному обсязі. Валютний ризик є незначним.</w:t>
      </w:r>
      <w:r>
        <w:rPr>
          <w:rFonts w:ascii="Times New Roman" w:eastAsia="Times New Roman" w:hAnsi="Times New Roman" w:cs="Times New Roman"/>
          <w:sz w:val="24"/>
        </w:rPr>
        <w:br/>
      </w:r>
      <w:r>
        <w:rPr>
          <w:rFonts w:ascii="Times New Roman" w:eastAsia="Times New Roman" w:hAnsi="Times New Roman" w:cs="Times New Roman"/>
          <w:i/>
          <w:sz w:val="24"/>
        </w:rPr>
        <w:t>Відсотковий ризик:</w:t>
      </w:r>
      <w:r>
        <w:rPr>
          <w:rFonts w:ascii="Times New Roman" w:eastAsia="Times New Roman" w:hAnsi="Times New Roman" w:cs="Times New Roman"/>
          <w:sz w:val="24"/>
        </w:rPr>
        <w:br/>
        <w:t xml:space="preserve">Відсоткові ризики для Товариства є незначними. Товариство в основному не залучає  кредити банків. </w:t>
      </w:r>
      <w:r>
        <w:rPr>
          <w:rFonts w:ascii="Times New Roman" w:eastAsia="Times New Roman" w:hAnsi="Times New Roman" w:cs="Times New Roman"/>
          <w:sz w:val="24"/>
        </w:rPr>
        <w:br/>
      </w:r>
      <w:r>
        <w:rPr>
          <w:rFonts w:ascii="Times New Roman" w:eastAsia="Times New Roman" w:hAnsi="Times New Roman" w:cs="Times New Roman"/>
          <w:i/>
          <w:sz w:val="24"/>
        </w:rPr>
        <w:t>Кредитний ризик:</w:t>
      </w:r>
      <w:r>
        <w:rPr>
          <w:rFonts w:ascii="Times New Roman" w:eastAsia="Times New Roman" w:hAnsi="Times New Roman" w:cs="Times New Roman"/>
          <w:sz w:val="24"/>
        </w:rPr>
        <w:br/>
        <w:t xml:space="preserve">Кредитний ризик – це ризик того, що контрагент не виконає своїх зобов'язань, що може призвести до фінансових збитків. Фінансові інструменти, які зазнають кредитного ризику, в основному включають торгову дебіторську заборгованість. </w:t>
      </w:r>
      <w:r>
        <w:rPr>
          <w:rFonts w:ascii="Times New Roman" w:eastAsia="Times New Roman" w:hAnsi="Times New Roman" w:cs="Times New Roman"/>
          <w:sz w:val="24"/>
        </w:rPr>
        <w:br/>
        <w:t xml:space="preserve">Найвищого кредитного ризику Товариство зазнає по дебіторській заборгованості.  </w:t>
      </w:r>
      <w:r>
        <w:rPr>
          <w:rFonts w:ascii="Times New Roman" w:eastAsia="Times New Roman" w:hAnsi="Times New Roman" w:cs="Times New Roman"/>
          <w:sz w:val="24"/>
        </w:rPr>
        <w:br/>
      </w:r>
      <w:r>
        <w:rPr>
          <w:rFonts w:ascii="Times New Roman" w:eastAsia="Times New Roman" w:hAnsi="Times New Roman" w:cs="Times New Roman"/>
          <w:i/>
          <w:sz w:val="24"/>
        </w:rPr>
        <w:t>Ризик ліквідності:</w:t>
      </w:r>
      <w:r>
        <w:rPr>
          <w:rFonts w:ascii="Times New Roman" w:eastAsia="Times New Roman" w:hAnsi="Times New Roman" w:cs="Times New Roman"/>
          <w:i/>
          <w:sz w:val="24"/>
        </w:rPr>
        <w:br/>
      </w:r>
      <w:r>
        <w:rPr>
          <w:rFonts w:ascii="Times New Roman" w:eastAsia="Times New Roman" w:hAnsi="Times New Roman" w:cs="Times New Roman"/>
          <w:sz w:val="24"/>
        </w:rPr>
        <w:t xml:space="preserve">Задачею Товариства є підтримка балансу між безперервним фінансуванням і гнучкістю у використанні умов кредитів, наданих постачальниками. Товариство проводить аналіз терміновості заборгованості і планує свою ліквідність у залежності від очікуваного терміну виконання зобов’язань. У випадку недостатньої ліквідності Товариство може залучати як зовнішні джерела фінансування, так і джерела між пов’язаними сторонами.                                              </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17</w:t>
      </w:r>
      <w:r w:rsidR="00E60293">
        <w:rPr>
          <w:rFonts w:ascii="Times New Roman" w:eastAsia="Times New Roman" w:hAnsi="Times New Roman" w:cs="Times New Roman"/>
          <w:b/>
          <w:sz w:val="32"/>
        </w:rPr>
        <w:t>. Управління капіталом.</w:t>
      </w:r>
    </w:p>
    <w:p w:rsidR="001472D7" w:rsidRDefault="00E60293">
      <w:pPr>
        <w:rPr>
          <w:rFonts w:ascii="Times New Roman" w:eastAsia="Times New Roman" w:hAnsi="Times New Roman" w:cs="Times New Roman"/>
          <w:sz w:val="24"/>
        </w:rPr>
      </w:pPr>
      <w:r>
        <w:rPr>
          <w:rFonts w:ascii="Calibri" w:eastAsia="Calibri" w:hAnsi="Calibri" w:cs="Calibri"/>
        </w:rPr>
        <w:br/>
      </w:r>
      <w:r>
        <w:rPr>
          <w:rFonts w:ascii="Times New Roman" w:eastAsia="Times New Roman" w:hAnsi="Times New Roman" w:cs="Times New Roman"/>
          <w:sz w:val="24"/>
        </w:rPr>
        <w:t xml:space="preserve">     Товариство здiйснює заходи з управлiння капiталом, спрямованi на зростання рентабельностi капiталу, за рахунок оптимiзацiї структури заборгованостi та власного капiталу, таким чином, щоб забезпечити безперервнiсть своєї дiяльностi. Керiвництво пiдприємства здiйснює огляд структури капiталу на щорiчнiй основi. При цьому керiвництво аналiзує вартiсть капiталу та притаманнi його складовим ризики. На основi отриманих висновкiв Товариство здiйснює регулювання капiталу шляхом залучення додаткового капiталу або фiнансування, а також виплати дивiдендiв та погашення iснуючих позик.</w:t>
      </w:r>
    </w:p>
    <w:p w:rsidR="001472D7" w:rsidRDefault="00305F50">
      <w:pPr>
        <w:spacing w:before="100" w:after="100" w:line="240" w:lineRule="auto"/>
        <w:rPr>
          <w:rFonts w:ascii="Times New Roman" w:eastAsia="Times New Roman" w:hAnsi="Times New Roman" w:cs="Times New Roman"/>
          <w:b/>
          <w:sz w:val="32"/>
        </w:rPr>
      </w:pPr>
      <w:r>
        <w:rPr>
          <w:rFonts w:ascii="Times New Roman" w:eastAsia="Times New Roman" w:hAnsi="Times New Roman" w:cs="Times New Roman"/>
          <w:b/>
          <w:sz w:val="32"/>
        </w:rPr>
        <w:t>18</w:t>
      </w:r>
      <w:r w:rsidR="00E60293">
        <w:rPr>
          <w:rFonts w:ascii="Times New Roman" w:eastAsia="Times New Roman" w:hAnsi="Times New Roman" w:cs="Times New Roman"/>
          <w:b/>
          <w:sz w:val="32"/>
        </w:rPr>
        <w:t>. Події після звітної дати.</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 відповідності до МСБО10 «Події після звітного періоду» Товариство  визначає  сприятливі та несприятливі події, які відбуваються з кінця звітного періоду до дати затвердження  фінансової звітності за 2020 рік до випуску. </w:t>
      </w:r>
    </w:p>
    <w:p w:rsidR="001472D7" w:rsidRDefault="00E60293">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Товариство стверджує, що не відбувалось ніяких подій після звітної дати, які могли б вплинути на фінансову звітність за 2020 рік. Також не відбувалося ніяких подій, які могли б вимагати коригування фінансової звітності за 2020 рік.</w:t>
      </w:r>
    </w:p>
    <w:p w:rsidR="001472D7" w:rsidRDefault="001472D7">
      <w:pPr>
        <w:spacing w:before="100" w:after="100" w:line="240" w:lineRule="auto"/>
        <w:rPr>
          <w:rFonts w:ascii="Times New Roman" w:eastAsia="Times New Roman" w:hAnsi="Times New Roman" w:cs="Times New Roman"/>
          <w:sz w:val="24"/>
        </w:rPr>
      </w:pPr>
    </w:p>
    <w:p w:rsidR="001472D7" w:rsidRDefault="00E60293">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Генеральний директор                                   </w:t>
      </w:r>
      <w:r w:rsidR="00CB3985">
        <w:rPr>
          <w:rFonts w:ascii="Times New Roman" w:eastAsia="Times New Roman" w:hAnsi="Times New Roman" w:cs="Times New Roman"/>
          <w:b/>
          <w:sz w:val="28"/>
        </w:rPr>
        <w:t xml:space="preserve">                       Левицький В.Б</w:t>
      </w:r>
      <w:bookmarkStart w:id="0" w:name="_GoBack"/>
      <w:bookmarkEnd w:id="0"/>
      <w:r>
        <w:rPr>
          <w:rFonts w:ascii="Times New Roman" w:eastAsia="Times New Roman" w:hAnsi="Times New Roman" w:cs="Times New Roman"/>
          <w:b/>
          <w:sz w:val="28"/>
        </w:rPr>
        <w:t xml:space="preserve">.                                                                    </w:t>
      </w:r>
    </w:p>
    <w:p w:rsidR="001472D7" w:rsidRDefault="00E60293">
      <w:pPr>
        <w:spacing w:before="100" w:after="10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Головний бухгалтер                                                                Куйда Н.О.               </w:t>
      </w:r>
    </w:p>
    <w:sectPr w:rsidR="00147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475"/>
    <w:multiLevelType w:val="multilevel"/>
    <w:tmpl w:val="988A8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32C3E"/>
    <w:multiLevelType w:val="multilevel"/>
    <w:tmpl w:val="E10E8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D1FF9"/>
    <w:multiLevelType w:val="multilevel"/>
    <w:tmpl w:val="94B8EC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8212A"/>
    <w:multiLevelType w:val="multilevel"/>
    <w:tmpl w:val="DD34C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312C5"/>
    <w:multiLevelType w:val="multilevel"/>
    <w:tmpl w:val="78E8F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CF18D4"/>
    <w:multiLevelType w:val="multilevel"/>
    <w:tmpl w:val="48DC7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D7B11"/>
    <w:multiLevelType w:val="multilevel"/>
    <w:tmpl w:val="3378ED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972467"/>
    <w:multiLevelType w:val="multilevel"/>
    <w:tmpl w:val="5BE2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7A3DCC"/>
    <w:multiLevelType w:val="multilevel"/>
    <w:tmpl w:val="DA521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F402DA"/>
    <w:multiLevelType w:val="multilevel"/>
    <w:tmpl w:val="568A7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6D2EDC"/>
    <w:multiLevelType w:val="multilevel"/>
    <w:tmpl w:val="C4C2C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542D32"/>
    <w:multiLevelType w:val="multilevel"/>
    <w:tmpl w:val="4718E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97460E"/>
    <w:multiLevelType w:val="multilevel"/>
    <w:tmpl w:val="7A48A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B74E80"/>
    <w:multiLevelType w:val="multilevel"/>
    <w:tmpl w:val="7D9C5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7A3F88"/>
    <w:multiLevelType w:val="multilevel"/>
    <w:tmpl w:val="04C65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F50A09"/>
    <w:multiLevelType w:val="multilevel"/>
    <w:tmpl w:val="3AA09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2926A5"/>
    <w:multiLevelType w:val="multilevel"/>
    <w:tmpl w:val="6A9A1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DE75B2"/>
    <w:multiLevelType w:val="multilevel"/>
    <w:tmpl w:val="0638F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DF4ED7"/>
    <w:multiLevelType w:val="multilevel"/>
    <w:tmpl w:val="B1767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DD302B"/>
    <w:multiLevelType w:val="multilevel"/>
    <w:tmpl w:val="575264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6F0246"/>
    <w:multiLevelType w:val="multilevel"/>
    <w:tmpl w:val="D5A82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A21A62"/>
    <w:multiLevelType w:val="multilevel"/>
    <w:tmpl w:val="A78EA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F57F9E"/>
    <w:multiLevelType w:val="multilevel"/>
    <w:tmpl w:val="3FF2A7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FD08F3"/>
    <w:multiLevelType w:val="multilevel"/>
    <w:tmpl w:val="1DCC7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3262CB"/>
    <w:multiLevelType w:val="multilevel"/>
    <w:tmpl w:val="BDCE1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353991"/>
    <w:multiLevelType w:val="multilevel"/>
    <w:tmpl w:val="47EA5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F436C7"/>
    <w:multiLevelType w:val="multilevel"/>
    <w:tmpl w:val="4D2C0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117A3B"/>
    <w:multiLevelType w:val="multilevel"/>
    <w:tmpl w:val="DF7EA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7C0E88"/>
    <w:multiLevelType w:val="multilevel"/>
    <w:tmpl w:val="4FD61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851C59"/>
    <w:multiLevelType w:val="multilevel"/>
    <w:tmpl w:val="917A7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C51A76"/>
    <w:multiLevelType w:val="multilevel"/>
    <w:tmpl w:val="C97C3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437323"/>
    <w:multiLevelType w:val="multilevel"/>
    <w:tmpl w:val="BF907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3D564B"/>
    <w:multiLevelType w:val="multilevel"/>
    <w:tmpl w:val="7F822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396627"/>
    <w:multiLevelType w:val="multilevel"/>
    <w:tmpl w:val="64884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6E7F1A"/>
    <w:multiLevelType w:val="multilevel"/>
    <w:tmpl w:val="D59E8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1"/>
  </w:num>
  <w:num w:numId="4">
    <w:abstractNumId w:val="7"/>
  </w:num>
  <w:num w:numId="5">
    <w:abstractNumId w:val="28"/>
  </w:num>
  <w:num w:numId="6">
    <w:abstractNumId w:val="15"/>
  </w:num>
  <w:num w:numId="7">
    <w:abstractNumId w:val="29"/>
  </w:num>
  <w:num w:numId="8">
    <w:abstractNumId w:val="17"/>
  </w:num>
  <w:num w:numId="9">
    <w:abstractNumId w:val="6"/>
  </w:num>
  <w:num w:numId="10">
    <w:abstractNumId w:val="8"/>
  </w:num>
  <w:num w:numId="11">
    <w:abstractNumId w:val="32"/>
  </w:num>
  <w:num w:numId="12">
    <w:abstractNumId w:val="1"/>
  </w:num>
  <w:num w:numId="13">
    <w:abstractNumId w:val="2"/>
  </w:num>
  <w:num w:numId="14">
    <w:abstractNumId w:val="19"/>
  </w:num>
  <w:num w:numId="15">
    <w:abstractNumId w:val="27"/>
  </w:num>
  <w:num w:numId="16">
    <w:abstractNumId w:val="30"/>
  </w:num>
  <w:num w:numId="17">
    <w:abstractNumId w:val="31"/>
  </w:num>
  <w:num w:numId="18">
    <w:abstractNumId w:val="16"/>
  </w:num>
  <w:num w:numId="19">
    <w:abstractNumId w:val="23"/>
  </w:num>
  <w:num w:numId="20">
    <w:abstractNumId w:val="24"/>
  </w:num>
  <w:num w:numId="21">
    <w:abstractNumId w:val="11"/>
  </w:num>
  <w:num w:numId="22">
    <w:abstractNumId w:val="25"/>
  </w:num>
  <w:num w:numId="23">
    <w:abstractNumId w:val="20"/>
  </w:num>
  <w:num w:numId="24">
    <w:abstractNumId w:val="5"/>
  </w:num>
  <w:num w:numId="25">
    <w:abstractNumId w:val="18"/>
  </w:num>
  <w:num w:numId="26">
    <w:abstractNumId w:val="34"/>
  </w:num>
  <w:num w:numId="27">
    <w:abstractNumId w:val="33"/>
  </w:num>
  <w:num w:numId="28">
    <w:abstractNumId w:val="10"/>
  </w:num>
  <w:num w:numId="29">
    <w:abstractNumId w:val="26"/>
  </w:num>
  <w:num w:numId="30">
    <w:abstractNumId w:val="14"/>
  </w:num>
  <w:num w:numId="31">
    <w:abstractNumId w:val="3"/>
  </w:num>
  <w:num w:numId="32">
    <w:abstractNumId w:val="12"/>
  </w:num>
  <w:num w:numId="33">
    <w:abstractNumId w:val="13"/>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D7"/>
    <w:rsid w:val="001472D7"/>
    <w:rsid w:val="00305F50"/>
    <w:rsid w:val="0049096C"/>
    <w:rsid w:val="004D7194"/>
    <w:rsid w:val="008F7943"/>
    <w:rsid w:val="00904955"/>
    <w:rsid w:val="009277AA"/>
    <w:rsid w:val="00952BF1"/>
    <w:rsid w:val="00B15F09"/>
    <w:rsid w:val="00BF76A8"/>
    <w:rsid w:val="00CB3985"/>
    <w:rsid w:val="00E60293"/>
    <w:rsid w:val="00FD2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AA28"/>
  <w15:docId w15:val="{2F0D7BA7-A36D-4886-9A56-D14F5133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D719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7.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55674</Words>
  <Characters>31735</Characters>
  <Application>Microsoft Office Word</Application>
  <DocSecurity>0</DocSecurity>
  <Lines>264</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cp:lastModifiedBy>
  <cp:revision>5</cp:revision>
  <dcterms:created xsi:type="dcterms:W3CDTF">2021-04-12T13:02:00Z</dcterms:created>
  <dcterms:modified xsi:type="dcterms:W3CDTF">2021-04-12T13:06:00Z</dcterms:modified>
</cp:coreProperties>
</file>